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92" w:rsidRDefault="00B85C92" w:rsidP="00B85C92">
      <w:pPr>
        <w:pStyle w:val="NormalWeb"/>
        <w:shd w:val="clear" w:color="auto" w:fill="FFFFFF"/>
        <w:spacing w:before="0" w:beforeAutospacing="0" w:after="150" w:afterAutospacing="0"/>
        <w:jc w:val="center"/>
        <w:rPr>
          <w:rStyle w:val="Gl"/>
          <w:rFonts w:ascii="inherit" w:hAnsi="inherit"/>
          <w:color w:val="000000"/>
          <w:sz w:val="18"/>
          <w:szCs w:val="18"/>
        </w:rPr>
      </w:pPr>
    </w:p>
    <w:p w:rsidR="00B85C92" w:rsidRDefault="00B85C92" w:rsidP="00B85C92">
      <w:pPr>
        <w:pStyle w:val="NormalWeb"/>
        <w:shd w:val="clear" w:color="auto" w:fill="FFFFFF"/>
        <w:spacing w:before="0" w:beforeAutospacing="0" w:after="150" w:afterAutospacing="0"/>
        <w:jc w:val="center"/>
        <w:rPr>
          <w:rStyle w:val="Gl"/>
          <w:rFonts w:ascii="inherit" w:hAnsi="inherit"/>
          <w:color w:val="000000"/>
          <w:sz w:val="18"/>
          <w:szCs w:val="18"/>
        </w:rPr>
      </w:pPr>
    </w:p>
    <w:p w:rsidR="00B85C92" w:rsidRDefault="00B85C92" w:rsidP="00B85C92">
      <w:pPr>
        <w:pStyle w:val="NormalWeb"/>
        <w:shd w:val="clear" w:color="auto" w:fill="FFFFFF"/>
        <w:spacing w:before="0" w:beforeAutospacing="0" w:after="150" w:afterAutospacing="0"/>
        <w:jc w:val="center"/>
        <w:rPr>
          <w:rStyle w:val="Gl"/>
          <w:rFonts w:ascii="inherit" w:hAnsi="inherit"/>
          <w:color w:val="000000"/>
          <w:sz w:val="18"/>
          <w:szCs w:val="18"/>
        </w:rPr>
      </w:pPr>
    </w:p>
    <w:p w:rsidR="00B85C92" w:rsidRDefault="00B85C92" w:rsidP="00B85C92">
      <w:pPr>
        <w:pStyle w:val="NormalWeb"/>
        <w:shd w:val="clear" w:color="auto" w:fill="FFFFFF"/>
        <w:spacing w:before="0" w:beforeAutospacing="0" w:after="150" w:afterAutospacing="0"/>
        <w:jc w:val="center"/>
        <w:rPr>
          <w:rStyle w:val="Gl"/>
          <w:rFonts w:ascii="inherit" w:hAnsi="inherit"/>
          <w:color w:val="000000"/>
          <w:sz w:val="18"/>
          <w:szCs w:val="18"/>
        </w:rPr>
      </w:pPr>
    </w:p>
    <w:p w:rsidR="00B85C92" w:rsidRDefault="00B85C92" w:rsidP="00B85C92">
      <w:pPr>
        <w:pStyle w:val="NormalWeb"/>
        <w:shd w:val="clear" w:color="auto" w:fill="FFFFFF"/>
        <w:spacing w:before="0" w:beforeAutospacing="0" w:after="150" w:afterAutospacing="0"/>
        <w:jc w:val="center"/>
        <w:rPr>
          <w:rStyle w:val="Gl"/>
          <w:rFonts w:ascii="inherit" w:hAnsi="inherit"/>
          <w:color w:val="000000"/>
          <w:sz w:val="18"/>
          <w:szCs w:val="18"/>
        </w:rPr>
      </w:pPr>
    </w:p>
    <w:p w:rsidR="00B85C92" w:rsidRDefault="00B85C92" w:rsidP="00B85C92">
      <w:pPr>
        <w:pStyle w:val="NormalWeb"/>
        <w:shd w:val="clear" w:color="auto" w:fill="FFFFFF"/>
        <w:spacing w:before="0" w:beforeAutospacing="0" w:after="150" w:afterAutospacing="0"/>
        <w:jc w:val="center"/>
        <w:rPr>
          <w:rFonts w:ascii="Verdana" w:hAnsi="Verdana"/>
          <w:color w:val="000000"/>
          <w:sz w:val="18"/>
          <w:szCs w:val="18"/>
        </w:rPr>
      </w:pPr>
      <w:r>
        <w:rPr>
          <w:rStyle w:val="Gl"/>
          <w:rFonts w:ascii="inherit" w:hAnsi="inherit"/>
          <w:color w:val="000000"/>
          <w:sz w:val="18"/>
          <w:szCs w:val="18"/>
        </w:rPr>
        <w:t>T.C.</w:t>
      </w:r>
      <w:r>
        <w:rPr>
          <w:rFonts w:ascii="Verdana" w:hAnsi="Verdana"/>
          <w:color w:val="000000"/>
          <w:sz w:val="18"/>
          <w:szCs w:val="18"/>
        </w:rPr>
        <w:br/>
      </w:r>
      <w:r>
        <w:rPr>
          <w:rStyle w:val="Gl"/>
          <w:rFonts w:ascii="inherit" w:hAnsi="inherit"/>
          <w:color w:val="000000"/>
          <w:sz w:val="18"/>
          <w:szCs w:val="18"/>
        </w:rPr>
        <w:t>SAĞLIK BAKANLIĞI</w:t>
      </w:r>
      <w:r>
        <w:rPr>
          <w:rFonts w:ascii="Verdana" w:hAnsi="Verdana"/>
          <w:color w:val="000000"/>
          <w:sz w:val="18"/>
          <w:szCs w:val="18"/>
        </w:rPr>
        <w:br/>
      </w:r>
      <w:r>
        <w:rPr>
          <w:rStyle w:val="Gl"/>
          <w:rFonts w:ascii="inherit" w:hAnsi="inherit"/>
          <w:color w:val="000000"/>
          <w:sz w:val="18"/>
          <w:szCs w:val="18"/>
        </w:rPr>
        <w:t>Sağlık Hizmetleri Genel Müdürlüğü</w:t>
      </w: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r>
        <w:rPr>
          <w:rStyle w:val="Gl"/>
          <w:rFonts w:ascii="inherit" w:hAnsi="inherit"/>
          <w:color w:val="000000"/>
          <w:sz w:val="18"/>
          <w:szCs w:val="18"/>
        </w:rPr>
        <w:t>Sayı</w:t>
      </w:r>
      <w:r>
        <w:rPr>
          <w:rFonts w:ascii="Verdana" w:hAnsi="Verdana"/>
          <w:color w:val="000000"/>
          <w:sz w:val="18"/>
          <w:szCs w:val="18"/>
        </w:rPr>
        <w:t>:  23642684/708.99</w:t>
      </w:r>
      <w:r>
        <w:rPr>
          <w:rFonts w:ascii="Verdana" w:hAnsi="Verdana"/>
          <w:color w:val="000000"/>
          <w:sz w:val="18"/>
          <w:szCs w:val="18"/>
        </w:rPr>
        <w:br/>
      </w:r>
      <w:r>
        <w:rPr>
          <w:rStyle w:val="Gl"/>
          <w:rFonts w:ascii="Verdana" w:hAnsi="Verdana"/>
          <w:color w:val="000000"/>
          <w:sz w:val="18"/>
          <w:szCs w:val="18"/>
        </w:rPr>
        <w:t>Konu</w:t>
      </w:r>
      <w:r>
        <w:rPr>
          <w:rFonts w:ascii="Verdana" w:hAnsi="Verdana"/>
          <w:color w:val="000000"/>
          <w:sz w:val="18"/>
          <w:szCs w:val="18"/>
        </w:rPr>
        <w:t>: TİG Veri Gönderimi</w:t>
      </w: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r>
        <w:rPr>
          <w:rStyle w:val="Gl"/>
          <w:rFonts w:ascii="inherit" w:hAnsi="inherit"/>
          <w:color w:val="000000"/>
          <w:sz w:val="18"/>
          <w:szCs w:val="18"/>
        </w:rPr>
        <w:t>İlgi:</w:t>
      </w:r>
      <w:r>
        <w:rPr>
          <w:rStyle w:val="apple-converted-space"/>
          <w:rFonts w:ascii="Verdana" w:hAnsi="Verdana"/>
          <w:color w:val="000000"/>
          <w:sz w:val="18"/>
          <w:szCs w:val="18"/>
        </w:rPr>
        <w:t> </w:t>
      </w:r>
      <w:proofErr w:type="gramStart"/>
      <w:r>
        <w:rPr>
          <w:rFonts w:ascii="Verdana" w:hAnsi="Verdana"/>
          <w:color w:val="000000"/>
          <w:sz w:val="18"/>
          <w:szCs w:val="18"/>
        </w:rPr>
        <w:t>13/06/2013</w:t>
      </w:r>
      <w:proofErr w:type="gramEnd"/>
      <w:r>
        <w:rPr>
          <w:rFonts w:ascii="Verdana" w:hAnsi="Verdana"/>
          <w:color w:val="000000"/>
          <w:sz w:val="18"/>
          <w:szCs w:val="18"/>
        </w:rPr>
        <w:t xml:space="preserve"> tarih ve 01.06.02/21217 sayılı Genelgemiz.</w:t>
      </w: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r>
        <w:rPr>
          <w:rFonts w:ascii="Verdana" w:hAnsi="Verdana"/>
          <w:color w:val="000000"/>
          <w:sz w:val="18"/>
          <w:szCs w:val="18"/>
        </w:rPr>
        <w:t xml:space="preserve">İlgide kayıtlı Genelgemizde; özel hastaneler ve üniversite hastanelerinin 1 Eylül 2013 tarihinden itibaren TİG veri sistemine düzenli bir şekilde hasta verilerini göndermeleri gerektiği belirtilmiştir. Bu kapsamda özel hastanelere ve üniversite hastanelerine yönelik klinik kodlama eğitimleri düzenlenmiş, sisteme hastanelerin kayıtları yapılmış ve kullanıcılara şifreleri tanımlanmıştır. Sistem üzerinden yapılan değerlendirmede, bazı hastanelerin eksik veri gönderdiği </w:t>
      </w:r>
      <w:proofErr w:type="gramStart"/>
      <w:r>
        <w:rPr>
          <w:rFonts w:ascii="Verdana" w:hAnsi="Verdana"/>
          <w:color w:val="000000"/>
          <w:sz w:val="18"/>
          <w:szCs w:val="18"/>
        </w:rPr>
        <w:t>yada</w:t>
      </w:r>
      <w:proofErr w:type="gramEnd"/>
      <w:r>
        <w:rPr>
          <w:rFonts w:ascii="Verdana" w:hAnsi="Verdana"/>
          <w:color w:val="000000"/>
          <w:sz w:val="18"/>
          <w:szCs w:val="18"/>
        </w:rPr>
        <w:t xml:space="preserve"> veri göndermeye başlamadığı tespit edilmiştir.</w:t>
      </w: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proofErr w:type="gramStart"/>
      <w:r>
        <w:rPr>
          <w:rFonts w:ascii="Verdana" w:hAnsi="Verdana"/>
          <w:color w:val="000000"/>
          <w:sz w:val="18"/>
          <w:szCs w:val="18"/>
        </w:rPr>
        <w:t>İlgide kayıtlı Genelgemizde de belirtildiği üzere; 663 sayılı Sağlık Bakanlığı ve Bağlı Kuruluşlarının Teşkilat ve Görevleri Hakkında Kanun Hükmünde Kararname (KHK)'</w:t>
      </w:r>
      <w:proofErr w:type="spellStart"/>
      <w:r>
        <w:rPr>
          <w:rFonts w:ascii="Verdana" w:hAnsi="Verdana"/>
          <w:color w:val="000000"/>
          <w:sz w:val="18"/>
          <w:szCs w:val="18"/>
        </w:rPr>
        <w:t>nin"Bilgi</w:t>
      </w:r>
      <w:proofErr w:type="spellEnd"/>
      <w:r>
        <w:rPr>
          <w:rFonts w:ascii="Verdana" w:hAnsi="Verdana"/>
          <w:color w:val="000000"/>
          <w:sz w:val="18"/>
          <w:szCs w:val="18"/>
        </w:rPr>
        <w:t xml:space="preserve"> toplama, işleme ve paylaşma yetkisi" başlıklı 47. Madde 1. Fıkrada</w:t>
      </w:r>
      <w:r>
        <w:rPr>
          <w:rStyle w:val="apple-converted-space"/>
          <w:rFonts w:ascii="Verdana" w:hAnsi="Verdana"/>
          <w:color w:val="000000"/>
          <w:sz w:val="18"/>
          <w:szCs w:val="18"/>
        </w:rPr>
        <w:t> </w:t>
      </w:r>
      <w:r>
        <w:rPr>
          <w:rStyle w:val="Vurgu"/>
          <w:rFonts w:ascii="inherit" w:hAnsi="inherit"/>
          <w:color w:val="000000"/>
          <w:sz w:val="18"/>
          <w:szCs w:val="18"/>
        </w:rPr>
        <w:t>"Bakanlık ve bağlı</w:t>
      </w:r>
      <w:r>
        <w:rPr>
          <w:rStyle w:val="apple-converted-space"/>
          <w:rFonts w:ascii="Verdana" w:hAnsi="Verdana"/>
          <w:color w:val="000000"/>
          <w:sz w:val="18"/>
          <w:szCs w:val="18"/>
        </w:rPr>
        <w:t> </w:t>
      </w:r>
      <w:r>
        <w:rPr>
          <w:rStyle w:val="Vurgu"/>
          <w:rFonts w:ascii="inherit" w:hAnsi="inherit"/>
          <w:color w:val="000000"/>
          <w:sz w:val="18"/>
          <w:szCs w:val="18"/>
        </w:rPr>
        <w:t>kuruluşların, mevzuatla kendilerine verilen görevleri, e-devlet uygulamalarına uygun olarak</w:t>
      </w:r>
      <w:r>
        <w:rPr>
          <w:rStyle w:val="apple-converted-space"/>
          <w:rFonts w:ascii="Verdana" w:hAnsi="Verdana"/>
          <w:color w:val="000000"/>
          <w:sz w:val="18"/>
          <w:szCs w:val="18"/>
        </w:rPr>
        <w:t> </w:t>
      </w:r>
      <w:r>
        <w:rPr>
          <w:rStyle w:val="Vurgu"/>
          <w:rFonts w:ascii="inherit" w:hAnsi="inherit"/>
          <w:color w:val="000000"/>
          <w:sz w:val="18"/>
          <w:szCs w:val="18"/>
        </w:rPr>
        <w:t>daha etkin ve hızlı biçimde yerine getirebilmek için, bütün kamu ve özel sağlık kurum ve kuruluşlarından; sağlık hizmeti alanların, aldıkları sağlık hizmetinin gereği olarak ilgili sağlık</w:t>
      </w:r>
      <w:r>
        <w:rPr>
          <w:rStyle w:val="apple-converted-space"/>
          <w:rFonts w:ascii="Verdana" w:hAnsi="Verdana"/>
          <w:color w:val="000000"/>
          <w:sz w:val="18"/>
          <w:szCs w:val="18"/>
        </w:rPr>
        <w:t> </w:t>
      </w:r>
      <w:r>
        <w:rPr>
          <w:rStyle w:val="Vurgu"/>
          <w:rFonts w:ascii="inherit" w:hAnsi="inherit"/>
          <w:color w:val="000000"/>
          <w:sz w:val="18"/>
          <w:szCs w:val="18"/>
        </w:rPr>
        <w:t>kurum ve kuruluşuna vermek zorunda oldukları kişisel bilgileri ve bu kimselere verilen hizmete</w:t>
      </w:r>
      <w:r>
        <w:rPr>
          <w:rStyle w:val="apple-converted-space"/>
          <w:rFonts w:ascii="Verdana" w:hAnsi="Verdana"/>
          <w:color w:val="000000"/>
          <w:sz w:val="18"/>
          <w:szCs w:val="18"/>
        </w:rPr>
        <w:t> </w:t>
      </w:r>
      <w:r>
        <w:rPr>
          <w:rStyle w:val="Vurgu"/>
          <w:rFonts w:ascii="inherit" w:hAnsi="inherit"/>
          <w:color w:val="000000"/>
          <w:sz w:val="18"/>
          <w:szCs w:val="18"/>
        </w:rPr>
        <w:t xml:space="preserve">ilişkin bilgileri her türlü vasıtayla toplamaya, işlemeye ve paylaşmaya </w:t>
      </w:r>
      <w:proofErr w:type="spellStart"/>
      <w:r>
        <w:rPr>
          <w:rStyle w:val="Vurgu"/>
          <w:rFonts w:ascii="inherit" w:hAnsi="inherit"/>
          <w:color w:val="000000"/>
          <w:sz w:val="18"/>
          <w:szCs w:val="18"/>
        </w:rPr>
        <w:t>yetkilidir.'"i</w:t>
      </w:r>
      <w:proofErr w:type="spellEnd"/>
      <w:r>
        <w:rPr>
          <w:rStyle w:val="Vurgu"/>
          <w:rFonts w:ascii="inherit" w:hAnsi="inherit"/>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Fıkrada</w:t>
      </w:r>
      <w:r>
        <w:rPr>
          <w:rStyle w:val="apple-converted-space"/>
          <w:rFonts w:ascii="Verdana" w:hAnsi="Verdana"/>
          <w:color w:val="000000"/>
          <w:sz w:val="18"/>
          <w:szCs w:val="18"/>
        </w:rPr>
        <w:t> </w:t>
      </w:r>
      <w:r>
        <w:rPr>
          <w:rStyle w:val="Vurgu"/>
          <w:rFonts w:ascii="inherit" w:hAnsi="inherit"/>
          <w:color w:val="000000"/>
          <w:sz w:val="18"/>
          <w:szCs w:val="18"/>
        </w:rPr>
        <w:t xml:space="preserve">"Bakanlık ve bağlı kuruluşları, mevzuatla kendilerine verilen görevleri yerine getirebilmek için gereken bilgileri, kamu ve özel ilgili bütün kişi ve kuruluşlardan istemeye yetkilidir. </w:t>
      </w:r>
      <w:proofErr w:type="gramEnd"/>
      <w:r>
        <w:rPr>
          <w:rStyle w:val="Vurgu"/>
          <w:rFonts w:ascii="inherit" w:hAnsi="inherit"/>
          <w:color w:val="000000"/>
          <w:sz w:val="18"/>
          <w:szCs w:val="18"/>
        </w:rPr>
        <w:t>İlgili kişi ve</w:t>
      </w:r>
      <w:r>
        <w:rPr>
          <w:rStyle w:val="apple-converted-space"/>
          <w:rFonts w:ascii="Verdana" w:hAnsi="Verdana"/>
          <w:color w:val="000000"/>
          <w:sz w:val="18"/>
          <w:szCs w:val="18"/>
        </w:rPr>
        <w:t> </w:t>
      </w:r>
      <w:r>
        <w:rPr>
          <w:rStyle w:val="Vurgu"/>
          <w:rFonts w:ascii="inherit" w:hAnsi="inherit"/>
          <w:color w:val="000000"/>
          <w:sz w:val="18"/>
          <w:szCs w:val="18"/>
        </w:rPr>
        <w:t>kuruluşlar istenilen bilgileri vermekle yükümlüdür,"</w:t>
      </w:r>
      <w:r>
        <w:rPr>
          <w:rStyle w:val="apple-converted-space"/>
          <w:rFonts w:ascii="Verdana" w:hAnsi="Verdana"/>
          <w:color w:val="000000"/>
          <w:sz w:val="18"/>
          <w:szCs w:val="18"/>
        </w:rPr>
        <w:t> </w:t>
      </w:r>
      <w:r>
        <w:rPr>
          <w:rFonts w:ascii="Verdana" w:hAnsi="Verdana"/>
          <w:color w:val="000000"/>
          <w:sz w:val="18"/>
          <w:szCs w:val="18"/>
        </w:rPr>
        <w:t>hükümleri ile 3359 sayılı</w:t>
      </w:r>
      <w:r>
        <w:rPr>
          <w:rStyle w:val="apple-converted-space"/>
          <w:rFonts w:ascii="Verdana" w:hAnsi="Verdana"/>
          <w:color w:val="000000"/>
          <w:sz w:val="18"/>
          <w:szCs w:val="18"/>
        </w:rPr>
        <w:t> </w:t>
      </w:r>
      <w:r>
        <w:rPr>
          <w:rStyle w:val="Gl"/>
          <w:rFonts w:ascii="inherit" w:hAnsi="inherit"/>
          <w:color w:val="000000"/>
          <w:sz w:val="18"/>
          <w:szCs w:val="18"/>
        </w:rPr>
        <w:t>Sağlık Hizmetleri Temel Kanununun Ek Madde 11</w:t>
      </w:r>
      <w:r>
        <w:rPr>
          <w:rStyle w:val="apple-converted-space"/>
          <w:rFonts w:ascii="Verdana" w:hAnsi="Verdana"/>
          <w:color w:val="000000"/>
          <w:sz w:val="18"/>
          <w:szCs w:val="18"/>
        </w:rPr>
        <w:t> </w:t>
      </w:r>
      <w:r>
        <w:rPr>
          <w:rFonts w:ascii="Verdana" w:hAnsi="Verdana"/>
          <w:color w:val="000000"/>
          <w:sz w:val="18"/>
          <w:szCs w:val="18"/>
        </w:rPr>
        <w:t>-</w:t>
      </w:r>
      <w:proofErr w:type="gramStart"/>
      <w:r>
        <w:rPr>
          <w:rFonts w:ascii="Verdana" w:hAnsi="Verdana"/>
          <w:color w:val="000000"/>
          <w:sz w:val="18"/>
          <w:szCs w:val="18"/>
        </w:rPr>
        <w:t>)</w:t>
      </w:r>
      <w:proofErr w:type="gramEnd"/>
      <w:r>
        <w:rPr>
          <w:rFonts w:ascii="Verdana" w:hAnsi="Verdana"/>
          <w:color w:val="000000"/>
          <w:sz w:val="18"/>
          <w:szCs w:val="18"/>
        </w:rPr>
        <w:t xml:space="preserve"> 3. fıkrasında</w:t>
      </w:r>
      <w:r>
        <w:rPr>
          <w:rStyle w:val="apple-converted-space"/>
          <w:rFonts w:ascii="Verdana" w:hAnsi="Verdana"/>
          <w:color w:val="000000"/>
          <w:sz w:val="18"/>
          <w:szCs w:val="18"/>
        </w:rPr>
        <w:t> </w:t>
      </w:r>
      <w:r>
        <w:rPr>
          <w:rStyle w:val="Vurgu"/>
          <w:rFonts w:ascii="inherit" w:hAnsi="inherit"/>
          <w:b/>
          <w:bCs/>
          <w:color w:val="000000"/>
          <w:sz w:val="18"/>
          <w:szCs w:val="18"/>
        </w:rPr>
        <w:t>"Bakanlıkça belirlen</w:t>
      </w:r>
      <w:r>
        <w:rPr>
          <w:rStyle w:val="Vurgu"/>
          <w:rFonts w:ascii="inherit" w:hAnsi="inherit"/>
          <w:b/>
          <w:bCs/>
          <w:color w:val="000000"/>
          <w:sz w:val="18"/>
          <w:szCs w:val="18"/>
          <w:u w:val="single"/>
        </w:rPr>
        <w:t>en kayıtlan</w:t>
      </w:r>
      <w:r>
        <w:rPr>
          <w:rStyle w:val="apple-converted-space"/>
          <w:rFonts w:ascii="Verdana" w:hAnsi="Verdana"/>
          <w:color w:val="000000"/>
          <w:sz w:val="18"/>
          <w:szCs w:val="18"/>
        </w:rPr>
        <w:t> </w:t>
      </w:r>
      <w:r>
        <w:rPr>
          <w:rStyle w:val="Vurgu"/>
          <w:rFonts w:ascii="inherit" w:hAnsi="inherit"/>
          <w:b/>
          <w:bCs/>
          <w:color w:val="000000"/>
          <w:sz w:val="18"/>
          <w:szCs w:val="18"/>
        </w:rPr>
        <w:t>uy</w:t>
      </w:r>
      <w:r>
        <w:rPr>
          <w:rStyle w:val="Vurgu"/>
          <w:rFonts w:ascii="inherit" w:hAnsi="inherit"/>
          <w:b/>
          <w:bCs/>
          <w:color w:val="000000"/>
          <w:sz w:val="18"/>
          <w:szCs w:val="18"/>
          <w:u w:val="single"/>
        </w:rPr>
        <w:t>gun ş</w:t>
      </w:r>
      <w:r>
        <w:rPr>
          <w:rStyle w:val="Vurgu"/>
          <w:rFonts w:ascii="inherit" w:hAnsi="inherit"/>
          <w:b/>
          <w:bCs/>
          <w:color w:val="000000"/>
          <w:sz w:val="18"/>
          <w:szCs w:val="18"/>
        </w:rPr>
        <w:t>ekilde tutmayan vey</w:t>
      </w:r>
      <w:r>
        <w:rPr>
          <w:rStyle w:val="Vurgu"/>
          <w:rFonts w:ascii="inherit" w:hAnsi="inherit"/>
          <w:b/>
          <w:bCs/>
          <w:color w:val="000000"/>
          <w:sz w:val="18"/>
          <w:szCs w:val="18"/>
          <w:u w:val="single"/>
        </w:rPr>
        <w:t>a bildirim zorunluluğunu yerine getirmey</w:t>
      </w:r>
      <w:r>
        <w:rPr>
          <w:rStyle w:val="Vurgu"/>
          <w:rFonts w:ascii="inherit" w:hAnsi="inherit"/>
          <w:b/>
          <w:bCs/>
          <w:color w:val="000000"/>
          <w:sz w:val="18"/>
          <w:szCs w:val="18"/>
        </w:rPr>
        <w:t>en sağlı</w:t>
      </w:r>
      <w:r>
        <w:rPr>
          <w:rStyle w:val="Vurgu"/>
          <w:rFonts w:ascii="inherit" w:hAnsi="inherit"/>
          <w:b/>
          <w:bCs/>
          <w:color w:val="000000"/>
          <w:sz w:val="18"/>
          <w:szCs w:val="18"/>
          <w:u w:val="single"/>
        </w:rPr>
        <w:t xml:space="preserve">k kurum </w:t>
      </w:r>
      <w:proofErr w:type="spellStart"/>
      <w:r>
        <w:rPr>
          <w:rStyle w:val="Vurgu"/>
          <w:rFonts w:ascii="inherit" w:hAnsi="inherit"/>
          <w:b/>
          <w:bCs/>
          <w:color w:val="000000"/>
          <w:sz w:val="18"/>
          <w:szCs w:val="18"/>
          <w:u w:val="single"/>
        </w:rPr>
        <w:t>vekuruluşl</w:t>
      </w:r>
      <w:r>
        <w:rPr>
          <w:rStyle w:val="Vurgu"/>
          <w:rFonts w:ascii="inherit" w:hAnsi="inherit"/>
          <w:b/>
          <w:bCs/>
          <w:color w:val="000000"/>
          <w:sz w:val="18"/>
          <w:szCs w:val="18"/>
        </w:rPr>
        <w:t>arı</w:t>
      </w:r>
      <w:proofErr w:type="spellEnd"/>
      <w:r>
        <w:rPr>
          <w:rStyle w:val="Vurgu"/>
          <w:rFonts w:ascii="inherit" w:hAnsi="inherit"/>
          <w:b/>
          <w:bCs/>
          <w:color w:val="000000"/>
          <w:sz w:val="18"/>
          <w:szCs w:val="18"/>
        </w:rPr>
        <w:t xml:space="preserve"> iki defa uyarılır. Uyarıya uymayanlara bir önceki aya ait brüt hizmet gelirinin</w:t>
      </w:r>
      <w:r>
        <w:rPr>
          <w:rStyle w:val="apple-converted-space"/>
          <w:rFonts w:ascii="inherit" w:hAnsi="inherit"/>
          <w:b/>
          <w:bCs/>
          <w:i/>
          <w:iCs/>
          <w:color w:val="000000"/>
          <w:sz w:val="18"/>
          <w:szCs w:val="18"/>
        </w:rPr>
        <w:t> </w:t>
      </w:r>
      <w:r>
        <w:rPr>
          <w:rStyle w:val="Vurgu"/>
          <w:rFonts w:ascii="inherit" w:hAnsi="inherit"/>
          <w:b/>
          <w:bCs/>
          <w:color w:val="000000"/>
          <w:sz w:val="18"/>
          <w:szCs w:val="18"/>
          <w:u w:val="single"/>
        </w:rPr>
        <w:t>yüzde biri kadar idari para c</w:t>
      </w:r>
      <w:r>
        <w:rPr>
          <w:rStyle w:val="Vurgu"/>
          <w:rFonts w:ascii="inherit" w:hAnsi="inherit"/>
          <w:b/>
          <w:bCs/>
          <w:color w:val="000000"/>
          <w:sz w:val="18"/>
          <w:szCs w:val="18"/>
        </w:rPr>
        <w:t>ezası verilir.</w:t>
      </w:r>
      <w:r>
        <w:rPr>
          <w:rStyle w:val="apple-converted-space"/>
          <w:rFonts w:ascii="Verdana" w:hAnsi="Verdana"/>
          <w:color w:val="000000"/>
          <w:sz w:val="18"/>
          <w:szCs w:val="18"/>
        </w:rPr>
        <w:t> </w:t>
      </w:r>
      <w:r>
        <w:rPr>
          <w:rFonts w:ascii="Verdana" w:hAnsi="Verdana"/>
          <w:color w:val="000000"/>
          <w:sz w:val="18"/>
          <w:szCs w:val="18"/>
        </w:rPr>
        <w:t>" hükmü yer almaktadır. Bu itibarla Türkiye Kamu Hastaneleri Kurumuna bağlı sağlık hizmet sunucuları, üniversitelere bağlı sağlık uygulama araştırma merkezleri ile özel hastaneler TÎG Veri Giriş sistemi üzerinden aylık dönemler halinde Bakanlığımızca belirlenen standartlara uygun şekilde veri göndermek zorundadırlar. Eksiksiz ve zamanında veri gönderiminde bulunmayan sağlık hizmet sunucularına yukarıda belirtilen idari para cezası hükmü uygulanacaktır.</w:t>
      </w: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r>
        <w:rPr>
          <w:rFonts w:ascii="Verdana" w:hAnsi="Verdana"/>
          <w:color w:val="000000"/>
          <w:sz w:val="18"/>
          <w:szCs w:val="18"/>
        </w:rPr>
        <w:t xml:space="preserve">Ülkemiz genelindeki tüm yataklı sağlık tesislerde verilen sağlık hizmetlerinin TİG üzerinden hesaplanması planlandığından tüm ilgili hastanelerin hasta verilerini </w:t>
      </w:r>
      <w:proofErr w:type="spellStart"/>
      <w:r>
        <w:rPr>
          <w:rFonts w:ascii="Verdana" w:hAnsi="Verdana"/>
          <w:color w:val="000000"/>
          <w:sz w:val="18"/>
          <w:szCs w:val="18"/>
        </w:rPr>
        <w:t>TİG'e</w:t>
      </w:r>
      <w:proofErr w:type="spellEnd"/>
      <w:r>
        <w:rPr>
          <w:rFonts w:ascii="Verdana" w:hAnsi="Verdana"/>
          <w:color w:val="000000"/>
          <w:sz w:val="18"/>
          <w:szCs w:val="18"/>
        </w:rPr>
        <w:t xml:space="preserve"> dayalı kodlama yaparak eksiksiz ve zamanında göndermeleri konusunda azami hassasiyetin gösterilmesi hususunu;</w:t>
      </w: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r>
        <w:rPr>
          <w:rFonts w:ascii="Verdana" w:hAnsi="Verdana"/>
          <w:color w:val="000000"/>
          <w:sz w:val="18"/>
          <w:szCs w:val="18"/>
        </w:rPr>
        <w:t>Bilgilerinizi ve gereğini rica ederim.</w:t>
      </w: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bookmarkStart w:id="0" w:name="_GoBack"/>
      <w:bookmarkEnd w:id="0"/>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p>
    <w:p w:rsidR="00B85C92" w:rsidRDefault="00B85C92" w:rsidP="00B85C92">
      <w:pPr>
        <w:pStyle w:val="NormalWeb"/>
        <w:shd w:val="clear" w:color="auto" w:fill="FFFFFF"/>
        <w:spacing w:before="0" w:beforeAutospacing="0" w:after="150" w:afterAutospacing="0"/>
        <w:ind w:left="4800"/>
        <w:jc w:val="center"/>
        <w:rPr>
          <w:rFonts w:ascii="Verdana" w:hAnsi="Verdana"/>
          <w:color w:val="000000"/>
          <w:sz w:val="18"/>
          <w:szCs w:val="18"/>
        </w:rPr>
      </w:pPr>
      <w:r>
        <w:rPr>
          <w:rStyle w:val="Gl"/>
          <w:rFonts w:ascii="Verdana" w:hAnsi="Verdana"/>
          <w:color w:val="000000"/>
          <w:sz w:val="18"/>
          <w:szCs w:val="18"/>
        </w:rPr>
        <w:t>Prof. Dr. Nurullah OKUMUŞ</w:t>
      </w:r>
      <w:r>
        <w:rPr>
          <w:rFonts w:ascii="Verdana" w:hAnsi="Verdana"/>
          <w:color w:val="000000"/>
          <w:sz w:val="18"/>
          <w:szCs w:val="18"/>
        </w:rPr>
        <w:br/>
      </w:r>
      <w:r>
        <w:rPr>
          <w:rStyle w:val="Gl"/>
          <w:rFonts w:ascii="Verdana" w:hAnsi="Verdana"/>
          <w:color w:val="000000"/>
          <w:sz w:val="18"/>
          <w:szCs w:val="18"/>
        </w:rPr>
        <w:t>Bakan a.</w:t>
      </w:r>
      <w:r>
        <w:rPr>
          <w:rFonts w:ascii="Verdana" w:hAnsi="Verdana"/>
          <w:b/>
          <w:bCs/>
          <w:color w:val="000000"/>
          <w:sz w:val="18"/>
          <w:szCs w:val="18"/>
        </w:rPr>
        <w:br/>
      </w:r>
      <w:r>
        <w:rPr>
          <w:rStyle w:val="Gl"/>
          <w:rFonts w:ascii="Verdana" w:hAnsi="Verdana"/>
          <w:color w:val="000000"/>
          <w:sz w:val="18"/>
          <w:szCs w:val="18"/>
        </w:rPr>
        <w:t>Genel Müdür</w:t>
      </w:r>
    </w:p>
    <w:p w:rsidR="00B85C92" w:rsidRDefault="00B85C92" w:rsidP="00B85C92">
      <w:pPr>
        <w:pStyle w:val="NormalWeb"/>
        <w:shd w:val="clear" w:color="auto" w:fill="FFFFFF"/>
        <w:spacing w:before="0" w:beforeAutospacing="0" w:after="150" w:afterAutospacing="0"/>
        <w:jc w:val="both"/>
        <w:rPr>
          <w:rFonts w:ascii="Verdana" w:hAnsi="Verdana"/>
          <w:color w:val="000000"/>
          <w:sz w:val="18"/>
          <w:szCs w:val="18"/>
        </w:rPr>
      </w:pPr>
      <w:r>
        <w:rPr>
          <w:rStyle w:val="Gl"/>
          <w:rFonts w:ascii="inherit" w:hAnsi="inherit"/>
          <w:color w:val="000000"/>
          <w:sz w:val="18"/>
          <w:szCs w:val="18"/>
        </w:rPr>
        <w:t>Dağıtım: </w:t>
      </w:r>
      <w:r>
        <w:rPr>
          <w:rFonts w:ascii="Verdana" w:hAnsi="Verdana"/>
          <w:color w:val="000000"/>
          <w:sz w:val="18"/>
          <w:szCs w:val="18"/>
        </w:rPr>
        <w:br/>
      </w:r>
      <w:r>
        <w:rPr>
          <w:rStyle w:val="Gl"/>
          <w:rFonts w:ascii="Verdana" w:hAnsi="Verdana"/>
          <w:color w:val="000000"/>
          <w:sz w:val="18"/>
          <w:szCs w:val="18"/>
        </w:rPr>
        <w:t>Gereği</w:t>
      </w:r>
      <w:r>
        <w:rPr>
          <w:rFonts w:ascii="Verdana" w:hAnsi="Verdana"/>
          <w:color w:val="000000"/>
          <w:sz w:val="18"/>
          <w:szCs w:val="18"/>
        </w:rPr>
        <w:br/>
        <w:t>1-TürkiyeKamuHastaneleriKurumuBaşkanlığına</w:t>
      </w:r>
      <w:r>
        <w:rPr>
          <w:rFonts w:ascii="Verdana" w:hAnsi="Verdana"/>
          <w:color w:val="000000"/>
          <w:sz w:val="18"/>
          <w:szCs w:val="18"/>
        </w:rPr>
        <w:br/>
        <w:t>2-81İlValiliği(</w:t>
      </w:r>
      <w:proofErr w:type="spellStart"/>
      <w:r>
        <w:rPr>
          <w:rFonts w:ascii="Verdana" w:hAnsi="Verdana"/>
          <w:color w:val="000000"/>
          <w:sz w:val="18"/>
          <w:szCs w:val="18"/>
        </w:rPr>
        <w:t>İlSağlık</w:t>
      </w:r>
      <w:r>
        <w:rPr>
          <w:rFonts w:ascii="Verdana" w:hAnsi="Verdana"/>
          <w:color w:val="000000"/>
          <w:sz w:val="18"/>
          <w:szCs w:val="18"/>
        </w:rPr>
        <w:t>Müdürlüğüne</w:t>
      </w:r>
      <w:proofErr w:type="spellEnd"/>
      <w:r>
        <w:rPr>
          <w:rFonts w:ascii="Verdana" w:hAnsi="Verdana"/>
          <w:color w:val="000000"/>
          <w:sz w:val="18"/>
          <w:szCs w:val="18"/>
        </w:rPr>
        <w:t>)</w:t>
      </w:r>
      <w:r>
        <w:rPr>
          <w:rFonts w:ascii="Verdana" w:hAnsi="Verdana"/>
          <w:color w:val="000000"/>
          <w:sz w:val="18"/>
          <w:szCs w:val="18"/>
        </w:rPr>
        <w:br/>
        <w:t>3- Yüksek Öğretim Kurulu Başkanlığına</w:t>
      </w:r>
    </w:p>
    <w:p w:rsidR="00563A37" w:rsidRDefault="00563A37"/>
    <w:sectPr w:rsidR="00563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A0"/>
    <w:rsid w:val="00563A37"/>
    <w:rsid w:val="005C5DA0"/>
    <w:rsid w:val="00B85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DF7FC-6E66-4F72-BC33-1FDB3DA7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5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5C92"/>
    <w:rPr>
      <w:b/>
      <w:bCs/>
    </w:rPr>
  </w:style>
  <w:style w:type="character" w:customStyle="1" w:styleId="apple-converted-space">
    <w:name w:val="apple-converted-space"/>
    <w:basedOn w:val="VarsaylanParagrafYazTipi"/>
    <w:rsid w:val="00B85C92"/>
  </w:style>
  <w:style w:type="character" w:styleId="Vurgu">
    <w:name w:val="Emphasis"/>
    <w:basedOn w:val="VarsaylanParagrafYazTipi"/>
    <w:uiPriority w:val="20"/>
    <w:qFormat/>
    <w:rsid w:val="00B85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2016-11-24T12:43:00Z</dcterms:created>
  <dcterms:modified xsi:type="dcterms:W3CDTF">2016-11-24T12:44:00Z</dcterms:modified>
</cp:coreProperties>
</file>