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80"/>
      </w:tblGrid>
      <w:tr w:rsidR="007802F9" w:rsidRPr="007802F9" w:rsidTr="007802F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91"/>
              <w:gridCol w:w="3009"/>
              <w:gridCol w:w="2764"/>
            </w:tblGrid>
            <w:tr w:rsidR="007802F9" w:rsidRPr="007802F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02F9" w:rsidRPr="007802F9" w:rsidRDefault="007802F9" w:rsidP="007802F9">
                  <w:pPr>
                    <w:spacing w:after="0" w:line="240" w:lineRule="atLeast"/>
                    <w:rPr>
                      <w:rFonts w:ascii="Times New Roman" w:eastAsia="Times New Roman" w:hAnsi="Times New Roman" w:cs="Times New Roman"/>
                      <w:sz w:val="24"/>
                      <w:szCs w:val="24"/>
                    </w:rPr>
                  </w:pPr>
                  <w:bookmarkStart w:id="0" w:name="_GoBack"/>
                  <w:bookmarkEnd w:id="0"/>
                  <w:r w:rsidRPr="007802F9">
                    <w:rPr>
                      <w:rFonts w:ascii="Arial" w:eastAsia="Times New Roman" w:hAnsi="Arial" w:cs="Arial"/>
                      <w:sz w:val="16"/>
                      <w:szCs w:val="16"/>
                    </w:rPr>
                    <w:t>18 Şubat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02F9" w:rsidRPr="007802F9" w:rsidRDefault="007802F9" w:rsidP="007802F9">
                  <w:pPr>
                    <w:spacing w:before="100" w:beforeAutospacing="1" w:after="100" w:afterAutospacing="1" w:line="240" w:lineRule="auto"/>
                    <w:jc w:val="right"/>
                    <w:rPr>
                      <w:rFonts w:ascii="Times New Roman" w:eastAsia="Times New Roman" w:hAnsi="Times New Roman" w:cs="Times New Roman"/>
                      <w:sz w:val="24"/>
                      <w:szCs w:val="24"/>
                    </w:rPr>
                  </w:pPr>
                  <w:r w:rsidRPr="007802F9">
                    <w:rPr>
                      <w:rFonts w:ascii="Arial" w:eastAsia="Times New Roman" w:hAnsi="Arial" w:cs="Arial"/>
                      <w:sz w:val="16"/>
                      <w:szCs w:val="16"/>
                    </w:rPr>
                    <w:t>Sayı : 29271</w:t>
                  </w:r>
                </w:p>
              </w:tc>
            </w:tr>
            <w:tr w:rsidR="007802F9" w:rsidRPr="007802F9">
              <w:trPr>
                <w:trHeight w:val="480"/>
                <w:jc w:val="center"/>
              </w:trPr>
              <w:tc>
                <w:tcPr>
                  <w:tcW w:w="8789" w:type="dxa"/>
                  <w:gridSpan w:val="3"/>
                  <w:tcMar>
                    <w:top w:w="0" w:type="dxa"/>
                    <w:left w:w="108" w:type="dxa"/>
                    <w:bottom w:w="0" w:type="dxa"/>
                    <w:right w:w="108" w:type="dxa"/>
                  </w:tcMar>
                  <w:vAlign w:val="center"/>
                  <w:hideMark/>
                </w:tcPr>
                <w:p w:rsidR="007802F9" w:rsidRPr="007802F9" w:rsidRDefault="007802F9" w:rsidP="007802F9">
                  <w:pPr>
                    <w:spacing w:before="100" w:beforeAutospacing="1" w:after="100" w:afterAutospacing="1" w:line="240" w:lineRule="auto"/>
                    <w:jc w:val="center"/>
                    <w:rPr>
                      <w:rFonts w:ascii="Times New Roman" w:eastAsia="Times New Roman" w:hAnsi="Times New Roman" w:cs="Times New Roman"/>
                      <w:sz w:val="24"/>
                      <w:szCs w:val="24"/>
                    </w:rPr>
                  </w:pPr>
                  <w:r w:rsidRPr="007802F9">
                    <w:rPr>
                      <w:rFonts w:ascii="Arial" w:eastAsia="Times New Roman" w:hAnsi="Arial" w:cs="Arial"/>
                      <w:b/>
                      <w:bCs/>
                      <w:color w:val="000080"/>
                      <w:sz w:val="18"/>
                      <w:szCs w:val="18"/>
                    </w:rPr>
                    <w:t>TEBLİĞ</w:t>
                  </w:r>
                </w:p>
              </w:tc>
            </w:tr>
            <w:tr w:rsidR="007802F9" w:rsidRPr="007802F9">
              <w:trPr>
                <w:trHeight w:val="480"/>
                <w:jc w:val="center"/>
              </w:trPr>
              <w:tc>
                <w:tcPr>
                  <w:tcW w:w="8789" w:type="dxa"/>
                  <w:gridSpan w:val="3"/>
                  <w:tcMar>
                    <w:top w:w="0" w:type="dxa"/>
                    <w:left w:w="108" w:type="dxa"/>
                    <w:bottom w:w="0" w:type="dxa"/>
                    <w:right w:w="108" w:type="dxa"/>
                  </w:tcMar>
                  <w:vAlign w:val="center"/>
                  <w:hideMark/>
                </w:tcPr>
                <w:p w:rsidR="007802F9" w:rsidRPr="007802F9" w:rsidRDefault="007802F9" w:rsidP="007802F9">
                  <w:pPr>
                    <w:spacing w:after="0" w:line="240" w:lineRule="atLeast"/>
                    <w:ind w:firstLine="566"/>
                    <w:jc w:val="both"/>
                    <w:rPr>
                      <w:rFonts w:ascii="Times New Roman" w:eastAsia="Times New Roman" w:hAnsi="Times New Roman" w:cs="Times New Roman"/>
                      <w:u w:val="single"/>
                    </w:rPr>
                  </w:pPr>
                  <w:r w:rsidRPr="007802F9">
                    <w:rPr>
                      <w:rFonts w:ascii="Times New Roman" w:eastAsia="Times New Roman" w:hAnsi="Times New Roman" w:cs="Times New Roman"/>
                      <w:sz w:val="18"/>
                      <w:szCs w:val="18"/>
                      <w:u w:val="single"/>
                    </w:rPr>
                    <w:t>Sosyal Güvenlik Kurumundan:</w:t>
                  </w:r>
                </w:p>
                <w:p w:rsidR="007802F9" w:rsidRPr="007802F9" w:rsidRDefault="007802F9" w:rsidP="007802F9">
                  <w:pPr>
                    <w:spacing w:before="56" w:after="0" w:line="240" w:lineRule="atLeast"/>
                    <w:jc w:val="center"/>
                    <w:rPr>
                      <w:rFonts w:ascii="Times New Roman" w:eastAsia="Times New Roman" w:hAnsi="Times New Roman" w:cs="Times New Roman"/>
                      <w:b/>
                      <w:bCs/>
                      <w:sz w:val="19"/>
                      <w:szCs w:val="19"/>
                    </w:rPr>
                  </w:pPr>
                  <w:r w:rsidRPr="007802F9">
                    <w:rPr>
                      <w:rFonts w:ascii="Times New Roman" w:eastAsia="Times New Roman" w:hAnsi="Times New Roman" w:cs="Times New Roman"/>
                      <w:b/>
                      <w:bCs/>
                      <w:sz w:val="18"/>
                      <w:szCs w:val="18"/>
                    </w:rPr>
                    <w:t>SOSYAL GÜVENLİK KURUMU SAĞLIK UYGULAMA TEBLİĞİNDE</w:t>
                  </w:r>
                </w:p>
                <w:p w:rsidR="007802F9" w:rsidRPr="007802F9" w:rsidRDefault="007802F9" w:rsidP="007802F9">
                  <w:pPr>
                    <w:spacing w:after="170" w:line="240" w:lineRule="atLeast"/>
                    <w:jc w:val="center"/>
                    <w:rPr>
                      <w:rFonts w:ascii="Times New Roman" w:eastAsia="Times New Roman" w:hAnsi="Times New Roman" w:cs="Times New Roman"/>
                      <w:b/>
                      <w:bCs/>
                      <w:sz w:val="19"/>
                      <w:szCs w:val="19"/>
                    </w:rPr>
                  </w:pPr>
                  <w:r w:rsidRPr="007802F9">
                    <w:rPr>
                      <w:rFonts w:ascii="Times New Roman" w:eastAsia="Times New Roman" w:hAnsi="Times New Roman" w:cs="Times New Roman"/>
                      <w:b/>
                      <w:bCs/>
                      <w:sz w:val="18"/>
                      <w:szCs w:val="18"/>
                    </w:rPr>
                    <w:t>DEĞİŞİKLİK YAPILMASINA DAİR TEBLİĞ</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 – </w:t>
                  </w:r>
                  <w:r w:rsidRPr="007802F9">
                    <w:rPr>
                      <w:rFonts w:ascii="Times New Roman" w:eastAsia="Times New Roman" w:hAnsi="Times New Roman" w:cs="Times New Roman"/>
                      <w:sz w:val="18"/>
                      <w:szCs w:val="18"/>
                    </w:rPr>
                    <w:t>24/3/2013 tarihli ve 28597 sayılı Resmî Gazete ’de yayımlanan Sosyal Güvenlik Kurumu Sağlık Uygulama Tebliğinin 2.4.4.F-2 numaralı alt maddesinin üçüncü fıkrasına son cümle olarak aşağıdaki cümle eklenmiştir.</w:t>
                  </w:r>
                </w:p>
                <w:p w:rsidR="007802F9" w:rsidRPr="007802F9" w:rsidRDefault="007802F9" w:rsidP="007802F9">
                  <w:pPr>
                    <w:spacing w:after="0" w:line="240" w:lineRule="atLeast"/>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 –</w:t>
                  </w:r>
                  <w:r w:rsidRPr="007802F9">
                    <w:rPr>
                      <w:rFonts w:ascii="Times New Roman" w:eastAsia="Times New Roman" w:hAnsi="Times New Roman" w:cs="Times New Roman"/>
                      <w:sz w:val="18"/>
                      <w:szCs w:val="18"/>
                    </w:rPr>
                    <w:t> Aynı Tebliğin 2.4.4.F-3 numaralı alt maddesinin birinci fıkrasının (a) bendinde yer alan “SUT eki EK-2/D-2 Listesinde” ibaresinden sonra gelmek üzere “G80 ve”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3 – </w:t>
                  </w:r>
                  <w:r w:rsidRPr="007802F9">
                    <w:rPr>
                      <w:rFonts w:ascii="Times New Roman" w:eastAsia="Times New Roman" w:hAnsi="Times New Roman" w:cs="Times New Roman"/>
                      <w:sz w:val="18"/>
                      <w:szCs w:val="18"/>
                    </w:rPr>
                    <w:t>Aynı Tebliğin 2.4.4.İ-1 numaralı alt maddesinin birinci fıkrasında yer alan “Evli olmakla birlikte evlat edinilmiş çocukları hariç çocuk sahibi olmayan” ibaresi “Evli olmakla birlikte daha önceki evliliklerinden çocuk sahibi olup olmadığına bakılmaksızın evlat edinilmiş çocukları hariç mevcut evliliğinde çocuk sahibi olmayan”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4 – </w:t>
                  </w:r>
                  <w:r w:rsidRPr="007802F9">
                    <w:rPr>
                      <w:rFonts w:ascii="Times New Roman" w:eastAsia="Times New Roman" w:hAnsi="Times New Roman" w:cs="Times New Roman"/>
                      <w:sz w:val="18"/>
                      <w:szCs w:val="18"/>
                    </w:rPr>
                    <w:t>Aynı Tebliğin 2.4.4.İ-1-2 numaralı alt maddesinin altıncı fıkrası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“(6) Her bir IVF tedavisi için sağlık kurulu raporu düzenlenmesi gereklidir.”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5 –</w:t>
                  </w:r>
                  <w:r w:rsidRPr="007802F9">
                    <w:rPr>
                      <w:rFonts w:ascii="Times New Roman" w:eastAsia="Times New Roman" w:hAnsi="Times New Roman" w:cs="Times New Roman"/>
                      <w:sz w:val="18"/>
                      <w:szCs w:val="18"/>
                    </w:rPr>
                    <w:t> Aynı Tebliğin 3.1.3  numaralı maddesinin ikinci fıkrasında ve yedinci fıkrasında  yer alan “1/4/2015” ibareleri “1/7/2015”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6 –</w:t>
                  </w:r>
                  <w:r w:rsidRPr="007802F9">
                    <w:rPr>
                      <w:rFonts w:ascii="Times New Roman" w:eastAsia="Times New Roman" w:hAnsi="Times New Roman" w:cs="Times New Roman"/>
                      <w:sz w:val="18"/>
                      <w:szCs w:val="18"/>
                    </w:rPr>
                    <w:t> Aynı Tebliğin 3.1.4 numaralı maddesinin ikinci fıkrasına aşağıdaki bent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“p) SUT eki EK-3 Tıbbi Malzeme Listelerinde ayrıca faturalandırılabileceği belirtilen tıbbi malzemelerin,”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7 –</w:t>
                  </w:r>
                  <w:r w:rsidRPr="007802F9">
                    <w:rPr>
                      <w:rFonts w:ascii="Times New Roman" w:eastAsia="Times New Roman" w:hAnsi="Times New Roman" w:cs="Times New Roman"/>
                      <w:sz w:val="18"/>
                      <w:szCs w:val="18"/>
                    </w:rPr>
                    <w:t> Aynı Tebliğin 3.2.1.A numaralı alt maddesinin ikinci fıkrasında yer alan “1/4/2015” ibaresi “1/7/2015”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8 –</w:t>
                  </w:r>
                  <w:r w:rsidRPr="007802F9">
                    <w:rPr>
                      <w:rFonts w:ascii="Times New Roman" w:eastAsia="Times New Roman" w:hAnsi="Times New Roman" w:cs="Times New Roman"/>
                      <w:sz w:val="18"/>
                      <w:szCs w:val="18"/>
                    </w:rPr>
                    <w:t> Aynı Tebliğin 3.3.1 numaralı maddesinde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Maddenin ikinci fıkrasının (c)  bendi ile beşinci fıkrasının ikinci cümlesi yürürlükten kaldırılmıştır.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Maddenin onüçüncü fıkrası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“(13) Epidermolizis bülloza tanılı hastalara yara bakım hizmetlerinin ödenebilmesi için Sağlık Bakanlığına bağlı ikinci veya üçüncü basamak sağlık hizmeti sunucuları tarafından, deri ve zührevi hastalıkları uzman hekimi, plastik,rekonstrüktif ve estetik cerrahi uzman hekimi ve genel cerrahi uzman hekiminin 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9 – </w:t>
                  </w:r>
                  <w:r w:rsidRPr="007802F9">
                    <w:rPr>
                      <w:rFonts w:ascii="Times New Roman" w:eastAsia="Times New Roman" w:hAnsi="Times New Roman" w:cs="Times New Roman"/>
                      <w:sz w:val="18"/>
                      <w:szCs w:val="18"/>
                    </w:rPr>
                    <w:t>Aynı Tebliğin 3.3.9 numaralı maddesinin birinci fıkrasına aşağıdaki bent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“ö) Total parmak protezi”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10 –</w:t>
                  </w:r>
                  <w:r w:rsidRPr="007802F9">
                    <w:rPr>
                      <w:rFonts w:ascii="Times New Roman" w:eastAsia="Times New Roman" w:hAnsi="Times New Roman" w:cs="Times New Roman"/>
                      <w:sz w:val="18"/>
                      <w:szCs w:val="18"/>
                    </w:rPr>
                    <w:t> Aynı Tebliğin 3.3.29 numaralı maddesinin ikinci fıkrasının birinci cümlesinde yer alan “Kanama durdurmada kullanılan tıbbi malzemelerin vücut dışı uygulamalarında” ibaresi  “Kanama durdurmada kullanılan emilemeyen tıbbi malzemelerin” olarak değiştirilmiş ve  üçüncü fıkrasının birinci cümlesi aşağıdaki şekilde değiştirilmiştir.</w:t>
                  </w:r>
                </w:p>
                <w:p w:rsidR="007802F9" w:rsidRPr="007802F9" w:rsidRDefault="007802F9" w:rsidP="007802F9">
                  <w:pPr>
                    <w:spacing w:after="0" w:line="240" w:lineRule="atLeast"/>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“Kanama durdurmada kullanılan emilebilen  tıbbi malzemelerin yatarak tedavilerde, epikrizde aşağıdaki durumlardan en az birinin ve kullanılan tıbbi malzeme sayısının belirtilmesi şartıyla bedelleri Kurumca karşılanır.”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11 –</w:t>
                  </w:r>
                  <w:r w:rsidRPr="007802F9">
                    <w:rPr>
                      <w:rFonts w:ascii="Times New Roman" w:eastAsia="Times New Roman" w:hAnsi="Times New Roman" w:cs="Times New Roman"/>
                      <w:sz w:val="18"/>
                      <w:szCs w:val="18"/>
                    </w:rPr>
                    <w:t> Aynı Tebliğin 4.2.1.C-1 numaralı maddesinin ikinci fıkrasının birinci cümlesinde yer alan “Aksiyeltutulumlu ankilozan spondilitli” ibaresinden sonra gelmek üzere “ve radyografik olarak ankilozan spondilit (AS) kanıtı olmayan aksiyel spondilartritli” ibaresi eklenmiş ve dördüncü fıkrası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xml:space="preserve">“(4) Aksiyel tutulumlu ankilozan spondilitli, periferik eklem tutulumlu ankilozan spondilitli ve radyografik olarakankilozan spondilit (AS) kanıtı olmayan aksiyel spondilartritli hastalarda ilacın etkinliği, ilaca başlandıktan 3 ay </w:t>
                  </w:r>
                  <w:r w:rsidRPr="007802F9">
                    <w:rPr>
                      <w:rFonts w:ascii="Times New Roman" w:eastAsia="Times New Roman" w:hAnsi="Times New Roman" w:cs="Times New Roman"/>
                      <w:sz w:val="18"/>
                      <w:szCs w:val="18"/>
                    </w:rPr>
                    <w:lastRenderedPageBreak/>
                    <w:t>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12 –</w:t>
                  </w:r>
                  <w:r w:rsidRPr="007802F9">
                    <w:rPr>
                      <w:rFonts w:ascii="Times New Roman" w:eastAsia="Times New Roman" w:hAnsi="Times New Roman" w:cs="Times New Roman"/>
                      <w:sz w:val="18"/>
                      <w:szCs w:val="18"/>
                    </w:rPr>
                    <w:t> Aynı Tebliğin 4.2.14.C numaralı maddesinin üçüncü fıkrasında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(a) bendi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“a) Trastuzumab;</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HER-2 immünhistokimya ile +3 veya FISH/CISH/SISH (+) olan hastalarda,  metastatik meme kanseriendikasyonunda, bu durumun belirtildiği tıbbi onkoloji uzman hekiminin yer aldığı sağlık kurulu raporuna dayanılarak tıbbi onkoloji uzman hekimlerince reçete edilir. Trastuzumab kullanılırken progresyon gelişmesi halinde tedavi sonlandırılır.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HER-2 immünhistokimya ile +3 veya FISH/CISH/SISH (+) olan hastalarda,   erken evre meme kanseriendikasyonunda,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Metastatik mide veya özofagogastrik bileşke yerleşimli adenokanserli hastalardan daha önce kemoterapiuygulanmamış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uzman hekimlerince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(ç) bendinin ikinci alt bendi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(ı) bendi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“ı) Dasatinib ve nilotinib;</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Kronik miyeloid lösemi tanılı yetişkin hastaların tedavisinde;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Dasatinib; imatinib dahil önceki tedavilere dirençli veya intolere (aşağıdaki 4. ve 5. maddelerde belirtilen koşullarda),  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Nilotinib yalnızca; dasatinibe dirençli veya intolere (aşağıdaki 4. ve 5. maddelerde belirtilen koşullarda),Philadelphia kromozomu pozitif kronik evre veya hızlanmış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İmatinib dahil önceki tedavilere dirençli veya intolere olan hastalardan; plevral effüzyon veya pulmonerhipertansiyon veya KOAH hastalarında, imatinib sonrası dasatinib kullanılmadan nilotinibe geçilebilir.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4) Direnç gelişmesi durumu;</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1- 3. ayda tam hematolojik yanıt olmaması veya Philadelphia kromozomu %95 üzerinde pozitif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2- 6. ayda uluslararası skala ile  (ıs) BCR-ABL &gt;%10  olması veya  Philadelphia kromozomu  % 35 üzerinde pozitif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3- 12. ayda uluslararası skala ile  (ıs) BCR-ABL &gt;% 1 olması veya  Philadelphia kromozomu pozitif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4- Tedavi sırasında herhangi bir zamanda aşağıdaki durumlardan herhangi birinin oluşması;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Tam hematolojik yanıt kaybı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Tam sitogenetik yanıt kaybı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En az 2 ölçümle konfirme edilmiş majör moleküler yanıt kaybı (uluslararası skala ile %1’in üzerinde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ç) Mutasyon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d) Philadelphia kromozomu pozitifliği ile birlikte klonal karyotipik anormallik</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5) İntolerans gelişmesi durumu;</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Yan etkinin ne olduğu ve derecesinin nasıl saptandığı raporda belirtilmek koşulu ile grade (derece) 3-4 yan etki oluşması.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6) Dasatinib ve nilotinib kombine olarak kullanılamayacaktır.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ALL (akut lenfoblastik lösemili) yetişkin hastaların tedavisinde;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lastRenderedPageBreak/>
                    <w:t>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Dasatinib ve nilotinib kombine olarak kullanılamayacaktır.”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ç) (n) bendi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“n) Lenalidomid;</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En az 2 kür standart multiple myelom tedavisi (VAD, MP veya diğer standart antimiyelom rejimler) kullanım sonrası hastalık progresyonu gelişmiş hastalardan;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Yeterli doz ve sürede talidomid veya bortezomib kürlerine dirençli veya EMG ile kanıtlanmış nöropati nedeni ile bu ajanların kullanılamadığı hastaların tedavisinde veya,</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Transplantasyon sonrasında dirençli hastalığı olan multiple myelom (MM) hastalarının tedavisinde,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Tek başına veya başka sitogenetik anomalilerle birlikte 5q delesyonu saptanan miyelodisplastik sendromlu hastalardan;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IPSS (Uluslararası prognoz puanlama sistemi)'ye göre düşük veya orta-1 riskli ve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 ayda yapılan yanıt değerlendirmesinde transfüzyon ihtiyacının ortadan kalkmaması halinde tedavi sonlandırılır. Bu endikasyonda lenalidomidin yalnızca 10 mg’lık formları ödenir.”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d) (p) bendinin ikinci alt bendinde yer alan “(Ki-67 değeri 2 veya altında olan)” ibaresi  “(Ki-67 değeri 20 veya altında olan)”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e) (y) bendinden sonra gelmek üzere aşağıdaki bentler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“z) Dabrafenib ve vemurafenib;</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Daha önce herhangi bir RAF yolağı inhibitörü kullanmamış ve ECOG performans skoru 0 veya 1 olan ve BRAF V600 mutasyonu pozitif olan aşağıda belirtilen hasta gruplarında tek ajan olarak progresyona kadar kullanılabilir;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Lokal tedaviler sonrası progresyon göstermiş ve lokal tedavilerin tekrar kullanılamadığı relaps malign melanom</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Metastatik malign melanom</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Progresyon sonrası tek ajan olarak veya başka tedavilerle kombinasyon şeklinde kullanılamaz.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Tıbbi onkoloji uzman hekiminin yer aldığı ve yukarıdaki durumların belirtildiği en fazla 6 ay süreli sağlık kurulu raporuna dayanılarak tıbbi onkoloji uzman hekimlerince reçete edilebilir.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4) Dabrafenib ve vemurafenib ardışık ya da kombine olarak kullanılamaz.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aa) Beksaroten;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En az bir sistemik tedaviye dirençli erişkin hastalarda ileri evre (EORCT evre IIB, III, IV) kutanöz T-hücrelilenfomanın cilt bulgularının tedavisinde; tıbbi onkoloji, hematoloji veya dermatoloji uzman hekimlerinden en az birinin yer aldığı sağlık kurulu raporuna dayanılarak uzman hekimlerce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Bu grup hastalarda lipid düşürücü ilaç kullanılması gerektiğinde, bu durumun raporda belirtilmesi halinde SUT'un “4.2.28- Lipid düşürücü ilaçların kullanım ilkeleri” maddesi koşulları aranmaz.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bb) Krizotinib; ALK (Anaplastik Lenfoma Kinaz) pozitifliği FISH testi ile doğrulanmış, en az bir seri kemoterapikullanmış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13 –</w:t>
                  </w:r>
                  <w:r w:rsidRPr="007802F9">
                    <w:rPr>
                      <w:rFonts w:ascii="Times New Roman" w:eastAsia="Times New Roman" w:hAnsi="Times New Roman" w:cs="Times New Roman"/>
                      <w:sz w:val="18"/>
                      <w:szCs w:val="18"/>
                    </w:rPr>
                    <w:t> Aynı Tebliğin 4.2.16  numaralı maddesinin ikinci fıkrasının (c) bendinde yer alan “(yetmişiki virgül elli) TL” ibaresi “(yetmişyedi virgül elli) TL”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14 –</w:t>
                  </w:r>
                  <w:r w:rsidRPr="007802F9">
                    <w:rPr>
                      <w:rFonts w:ascii="Times New Roman" w:eastAsia="Times New Roman" w:hAnsi="Times New Roman" w:cs="Times New Roman"/>
                      <w:sz w:val="18"/>
                      <w:szCs w:val="18"/>
                    </w:rPr>
                    <w:t> Aynı Tebliğin 4.2.24.B  numaralı maddesinin birinci fıkrasında yer alan “salmeterol” ibaresinden sonra gelmek üzere “, indakaterol”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15 –</w:t>
                  </w:r>
                  <w:r w:rsidRPr="007802F9">
                    <w:rPr>
                      <w:rFonts w:ascii="Times New Roman" w:eastAsia="Times New Roman" w:hAnsi="Times New Roman" w:cs="Times New Roman"/>
                      <w:sz w:val="18"/>
                      <w:szCs w:val="18"/>
                    </w:rPr>
                    <w:t> Aynı Tebliğin 4.2.30  numaralı maddesi başlığı ile bereber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“4.2.30 - Pulmoner hipertansiyon ile kronik tromboembolik pulmoner hipertansiyonda ilaç kullanım ilkeleri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4.2.30. A- Pulmoner hipertansiyonda iloprost trometamol (inhaler formu), bosentan, sildenafil, tadalafil veambrisentan kullanım ilkeleri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Pulmoner hipertansiyonda hastaların;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lastRenderedPageBreak/>
                    <w:t>a) Fonksiyonel kapasitelerinin NHYA sınıf II, III veya IV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Vazoreaktivite testinin negatif olması,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Üçüncü aylık tedavi sonrası kontrolünde klinik efor kapasitesi (6 dakika yürüme testi veya treadmil efor testi),hemodinami veya ekokardiyografik verilerinde düzelme olması veya stabil kalması,</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gerekmektedir.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Uygulanacak tedavi üçer aylık periyotlar halinde yukarıda açıklanan hususlar doğrultusunda sağlık kurulu raporunda belgelenecektir.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(4) İlgili ilaçlar kardiyoloji, kalp damar cerrahisi, göğüs hastalıkları, çocuk kardiyolojisi uzman hekimlerinden birinin yer aldığı sağlık kurulu raporuna dayanarak adı geçen hekimlerce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(5) Bağ dokusu hastalıklarına (skleroderma gibi) sekonder pulmoner hipertansiyon hastalarında yukarıdaki uzman hekimlerden birinin yer aldığı sağlık kurulu raporuna istinaden bu hekimler veya romatoloji ile klinik immunoloji uzman hekimleri tarafından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(6) Bosentan ve ambrisentan kombine kullanılamaz.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(7) Sildenafil ve tadalafil kombine kullanılamaz.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4.2.30. B- Kronik tromboembolik pulmoner hipertansiyonda (KTEPH, Dünya Sağlık Örgütü (DSÖ) Grup 4) riosiguat kullanım ilkeleri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Riosiguat; yalnızca inoperabl veya cerrahi tedavi sonrasında dirençli/nükseden KTEPH'li erişkin hastalardan;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Ventilasyon perfüzyon sintigrafisi, pulmoner anjiyografi, çok kesitli spiral BT anjiyografi veya manyetikrezonans anjiyografi yöntemlerinden en az ikisi ile tromboemboli tanısı konulmuş ve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Sağ kalp kateterizasyonu ile ortalama PAB değeri 25 mmHg ve üzerinde olan ve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En az 3 aylık antikoagülan tedavisi sonrasında ortalama PAB değerinde bir düşüş olmayanlarda kullanılır.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Her üç aylık tedavi sonunda egzersiz kapasitesinde (6 dakika yürüme testi) düzelme olması veya DSÖ fonksiyonel sınıfında iyileşme olması halinde tedaviye devam edilir. Bu durumların belirtileceği devam raporlarında ayrıca başlangıç kriterleri aranmaz.</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16 – </w:t>
                  </w:r>
                  <w:r w:rsidRPr="007802F9">
                    <w:rPr>
                      <w:rFonts w:ascii="Times New Roman" w:eastAsia="Times New Roman" w:hAnsi="Times New Roman" w:cs="Times New Roman"/>
                      <w:sz w:val="18"/>
                      <w:szCs w:val="18"/>
                    </w:rPr>
                    <w:t>Aynı Tebliğin 4.2.33 numaralı maddesinde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4.2.33.A  numaralı alt maddesinin birinci fıkrasının birinci cümlesinde yer alan “ranibizumab” ibaresinden sonra gelmek üzere “, aflibersept” ibaresi  ve  aynı alt maddenin ikinci fıkrasında yer alan “Ranibizumab” ibaresinden sonra gelmek üzere “ve aflibersept”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4.2.33.B  numaralı alt maddesinin başlığı “</w:t>
                  </w:r>
                  <w:r w:rsidRPr="007802F9">
                    <w:rPr>
                      <w:rFonts w:ascii="Times New Roman" w:eastAsia="Times New Roman" w:hAnsi="Times New Roman" w:cs="Times New Roman"/>
                      <w:b/>
                      <w:bCs/>
                      <w:sz w:val="18"/>
                      <w:szCs w:val="18"/>
                    </w:rPr>
                    <w:t>Retina ven tıkanıklığı ve santral retinal ven tıkanıklığında ilaç kullanım ilkeleri</w:t>
                  </w:r>
                  <w:r w:rsidRPr="007802F9">
                    <w:rPr>
                      <w:rFonts w:ascii="Times New Roman" w:eastAsia="Times New Roman" w:hAnsi="Times New Roman" w:cs="Times New Roman"/>
                      <w:sz w:val="18"/>
                      <w:szCs w:val="18"/>
                    </w:rPr>
                    <w:t>”  olarak değiştirilmiş ve aynı alt maddenin  ikinci fıkrasının birinci ve ikinci cümleleri ile üçüncü fıkrasında yer alan “Ranibizumab”  ibarelerinden sonra gelmek üzere “ve aflibersept”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17 –</w:t>
                  </w:r>
                  <w:r w:rsidRPr="007802F9">
                    <w:rPr>
                      <w:rFonts w:ascii="Times New Roman" w:eastAsia="Times New Roman" w:hAnsi="Times New Roman" w:cs="Times New Roman"/>
                      <w:sz w:val="18"/>
                      <w:szCs w:val="18"/>
                    </w:rPr>
                    <w:t> Aynı Tebliğin 4.2.34 numaralı maddesi  başlığı ile beraber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“4.2.34 - Multipl Skleroz Hastalığında beta interferon, glatiramer asetat ve fingolimod kullanım ilkeleri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Beta interferon ve glatiramer asetat (copolymer-l); disabilite skorunun (E.D.S.S.) 0-5,5 arasında ve olgularınremitting-relapsing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Fingolimod; yalnızca çok aktif durumlarda RR tipindeki erişkin MS hastalarından, en az bir yıl süre ile bir beta interferon veya glatiramer asetat tedavisine yanıt vermeyen ve yüksek hastalık aktivitesine sahip olan hastalarda kullanılır.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Yanıt vermeyen hastalar; bir yıllık tedavi ile ataklarında değişiklik olmayan, ataklarında artış gözlenen, daha ciddi atakları olan veya önceki tedaviler ile son yıl içinde en az bir atak geçirmiş ve kraniyal MR'ında bir veya birden fazlakontrast tutan lezyon veya birbirini takip eden MR'larda T2 lezyonlarının arttığı durumlardaki hastalardır.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EDSS skoru her düzenlenen raporda belirtilir ve 6 ve üzeri olan hastalarda tedavi sonlandırılır.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Üçüncü basamak sağlık kurumlarında bu durumların belirtildiği nöroloji uzman hekiminin yer aldığı sağlık kurulu raporuna dayanılarak nöroloji uzman hekimleri tarafından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18 –</w:t>
                  </w:r>
                  <w:r w:rsidRPr="007802F9">
                    <w:rPr>
                      <w:rFonts w:ascii="Times New Roman" w:eastAsia="Times New Roman" w:hAnsi="Times New Roman" w:cs="Times New Roman"/>
                      <w:sz w:val="18"/>
                      <w:szCs w:val="18"/>
                    </w:rPr>
                    <w:t> Aynı Tebliğe 4.2.43 numaralı maddeden sonra gelmek üzere aşağıdaki madde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lastRenderedPageBreak/>
                    <w:t>“4.2.44- Kriyopirin ilişkili periyodik sendromlar (CAPS) hastalığında kanakinumab kullanım ilkeleri;</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(1) Kanakinumab; yalnızca 15 kg vücut ağırlığının üzerinde olan 4 yaş ve üstü çocuklar ile yetişkinlerde kriyopirinilişkili periyodik sendromlardan (CAPS);  ailevi soğuk otoinflamatuar sendrom (FCAS)/ailevi soğuk ürtiker (FCU),Muckle-Wells sendromu (MWS), neonatal başlangıçlı multisistem inflamatuar hastalık (NOMID)/kronik infantil nörolojik,kütanöz, artiküler sendrom (CINCA) tedavisinde kullanılır.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(2) Tedaviye anakinra ile başlanır. Anakinra tedavisine yanıt alınamaması veya anakinra tedavisi altındaykenanakinra kullanılmasını engelleyecek ciddi klinik yan etki oluşması halinde kanakinumab tedavisine geçilir.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(3) Kanakinumab tedavisinde 6 ay sonunda yapılacak yanıt değerlendirmesine göre yanıt alınamayan hastalarda tedavi kesilir.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(4) Kanakinumab; üçüncü basamak sağlık kurumlarında bu durumların belirtildiği romatoloji uzman hekiminin yer aldığı 3 ay süreli sağlık kurulu raporuna dayanılarak romatoloji uzman hekimlerince reçete edilir.”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19 –</w:t>
                  </w:r>
                  <w:r w:rsidRPr="007802F9">
                    <w:rPr>
                      <w:rFonts w:ascii="Times New Roman" w:eastAsia="Times New Roman" w:hAnsi="Times New Roman" w:cs="Times New Roman"/>
                      <w:sz w:val="18"/>
                      <w:szCs w:val="18"/>
                    </w:rPr>
                    <w:t> Aynı Tebliğ eki “Hizmet Başı İşlem Puan Listesi” nde (EK-2/B)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Listeye “530.532” SUT kodlu işlemden sonra gelmek üzere aşağıdaki işlem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37" w:type="dxa"/>
                    <w:jc w:val="center"/>
                    <w:tblCellMar>
                      <w:left w:w="0" w:type="dxa"/>
                      <w:right w:w="0" w:type="dxa"/>
                    </w:tblCellMar>
                    <w:tblLook w:val="04A0" w:firstRow="1" w:lastRow="0" w:firstColumn="1" w:lastColumn="0" w:noHBand="0" w:noVBand="1"/>
                  </w:tblPr>
                  <w:tblGrid>
                    <w:gridCol w:w="826"/>
                    <w:gridCol w:w="1267"/>
                    <w:gridCol w:w="5316"/>
                    <w:gridCol w:w="1128"/>
                  </w:tblGrid>
                  <w:tr w:rsidR="007802F9" w:rsidRPr="007802F9">
                    <w:trPr>
                      <w:trHeight w:val="20"/>
                      <w:jc w:val="center"/>
                    </w:trPr>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KODU</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ADI</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AÇIKLAMA</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PUANI</w:t>
                        </w:r>
                      </w:p>
                    </w:tc>
                  </w:tr>
                  <w:tr w:rsidR="007802F9" w:rsidRPr="007802F9">
                    <w:trPr>
                      <w:trHeight w:val="20"/>
                      <w:jc w:val="center"/>
                    </w:trPr>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530533</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Epidermolizis büllosa hastalığında yara bakım hizmetleri</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Sağlık Bakanlığı’na bağlı ikinci veya üçüncü basamak sağlık hizmeti sunucularınca 3 (üç) günde bir faturalandırılması                            halinde ödenir. Tüm hizmet ve malzemeler dahildir. (530.500,530.510,530.520,530.530,530.531,530.532,530.560,530.561, 530.580,530.581) kodlu işlemler bu işlemle birlikte faturalandırılamaz.Yalnızca SUT Eki EK3/B Listesinde yer alan malzemelerle yapılan pansumanlar bu işlem kodu üzerinden faturalandırılamaz. Bkz. SUT 3.3.1 (13)</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303,54</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Listede işlem adı ve açıklama bölümünde değişiklik yapılan işlemler aşağıdaki tabloda belirtilmiştir.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54" w:type="dxa"/>
                    <w:jc w:val="center"/>
                    <w:tblCellMar>
                      <w:left w:w="0" w:type="dxa"/>
                      <w:right w:w="0" w:type="dxa"/>
                    </w:tblCellMar>
                    <w:tblLook w:val="04A0" w:firstRow="1" w:lastRow="0" w:firstColumn="1" w:lastColumn="0" w:noHBand="0" w:noVBand="1"/>
                  </w:tblPr>
                  <w:tblGrid>
                    <w:gridCol w:w="840"/>
                    <w:gridCol w:w="2796"/>
                    <w:gridCol w:w="3740"/>
                    <w:gridCol w:w="1178"/>
                  </w:tblGrid>
                  <w:tr w:rsidR="007802F9" w:rsidRPr="007802F9">
                    <w:trPr>
                      <w:trHeight w:val="20"/>
                      <w:jc w:val="center"/>
                    </w:trPr>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KODU</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ADI</w:t>
                        </w:r>
                      </w:p>
                    </w:tc>
                    <w:tc>
                      <w:tcPr>
                        <w:tcW w:w="4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AÇIKLAMA</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PUANI</w:t>
                        </w:r>
                      </w:p>
                    </w:tc>
                  </w:tr>
                  <w:tr w:rsidR="007802F9" w:rsidRPr="007802F9">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510070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ind w:firstLine="180"/>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Kuvöz</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Yemek, yatak, hasta vizit  hizmetlerini kapsar.510.081 ile birlikte faturalandırılmaz.Günde en fazla bir defa faturalandırılır.</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100,34</w:t>
                        </w:r>
                      </w:p>
                    </w:tc>
                  </w:tr>
                  <w:tr w:rsidR="007802F9" w:rsidRPr="007802F9">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590001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Yenidoğan/Çocuk/ErişkinTedavisel soğutma (Terapötik hipotermi)</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Üçüncü seviye yenidoğan/çocuk yoğun bakım ünitesi ile ikinci/üçüncü seviye erişkin yoğun bakım ünitesi olan sağlık hizmeti sunucularında, hipoksik iskemik ensefalopati tanısında veya kardiyopulmoner resusitasyon sonrası spontan sistemik dolaşımın sağlandığı komatöz hastalarda (Glasgow Koma Skalası &lt; 9) İlk 12 saat içinde başlanmak koşuluyla maksimum 72 saat süre ile sadece üçüncü seviye yenidoğan/çocuk yoğun bakım  ile erişkin ikinci/üçüncü seviye yoğun bakımlarda uygulanır. Aynı yatış döneminde en fazla üç defa yenidoğan/çocuk veya erişkin yoğun bakım işlem puanına ilave olarak faturalandırılır.</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151,92</w:t>
                        </w:r>
                      </w:p>
                    </w:tc>
                  </w:tr>
                  <w:tr w:rsidR="007802F9" w:rsidRPr="007802F9">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700210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İntralezyoner enjeksiyon, bir seans günlük</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ind w:firstLine="180"/>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Kortikosteroit, bleomycin, vs.</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15,01</w:t>
                        </w:r>
                      </w:p>
                    </w:tc>
                  </w:tr>
                  <w:tr w:rsidR="007802F9" w:rsidRPr="007802F9">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PSİKİYATRİK ÇALIŞMALAR</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ind w:firstLine="180"/>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702.660-702.810 arası çalışmalar Ruh Sağlığı ve Hastalıkları uzman hekimi bulunan sağlık hizmeti sunucularınca yapıldığında faturalandırılır. Resmi psikiyatri dal hastanelerinde ve Sağlık Bakanlığı ile 3.basamak sağlık hizmeti sunucuları bünyesindeki AMATEM/ÇEMATEM Merkezlerinde yapılan işlem puanlarına % 30 ilave edilir.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20 –</w:t>
                  </w:r>
                  <w:r w:rsidRPr="007802F9">
                    <w:rPr>
                      <w:rFonts w:ascii="Times New Roman" w:eastAsia="Times New Roman" w:hAnsi="Times New Roman" w:cs="Times New Roman"/>
                      <w:sz w:val="18"/>
                      <w:szCs w:val="18"/>
                    </w:rPr>
                    <w:t> Aynı Tebliğ eki “Tanıya Dayalı İşlem Puan Listesi” nde (EK-2/C) açıklama bölümünde değişiklik yapılan işlemler aşağıdaki tabloda belirtilmiştir.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lastRenderedPageBreak/>
                    <w:t> </w:t>
                  </w:r>
                </w:p>
                <w:tbl>
                  <w:tblPr>
                    <w:tblW w:w="8505" w:type="dxa"/>
                    <w:jc w:val="center"/>
                    <w:tblCellMar>
                      <w:left w:w="0" w:type="dxa"/>
                      <w:right w:w="0" w:type="dxa"/>
                    </w:tblCellMar>
                    <w:tblLook w:val="04A0" w:firstRow="1" w:lastRow="0" w:firstColumn="1" w:lastColumn="0" w:noHBand="0" w:noVBand="1"/>
                  </w:tblPr>
                  <w:tblGrid>
                    <w:gridCol w:w="933"/>
                    <w:gridCol w:w="2037"/>
                    <w:gridCol w:w="3326"/>
                    <w:gridCol w:w="960"/>
                    <w:gridCol w:w="306"/>
                    <w:gridCol w:w="943"/>
                  </w:tblGrid>
                  <w:tr w:rsidR="007802F9" w:rsidRPr="007802F9">
                    <w:trPr>
                      <w:trHeight w:val="20"/>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PAKET KODU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ADI</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AÇIKLAMA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GRUBU</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İŞLEM PUANI</w:t>
                        </w:r>
                      </w:p>
                    </w:tc>
                  </w:tr>
                  <w:tr w:rsidR="007802F9" w:rsidRPr="007802F9">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P608960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Wedge rezeksiyon, tek veya çok sayıda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P608860 ile birlikte faturalandırılmaz.Aynı faturada bir defadan fazla kodlanmaz.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B</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2429,34</w:t>
                        </w:r>
                      </w:p>
                    </w:tc>
                  </w:tr>
                  <w:tr w:rsidR="007802F9" w:rsidRPr="007802F9">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P609070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Karaciğer segmentektomi, her bir segment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Patoloji raporu ile segmentektominin teyidi gerekir. Üçten fazla olması halinde P609110 üzerinden faturalandırılır.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A3</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4788,21</w:t>
                        </w:r>
                      </w:p>
                    </w:tc>
                  </w:tr>
                  <w:tr w:rsidR="007802F9" w:rsidRPr="007802F9">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P609071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Karaciğer segmentektomi, her birsegment, laparoskopik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Patoloji raporu ile segmentektominin teyidi gerekir. Üçten fazla olması halinde P609111 üzerinden faturalandırılır. Tüm malzemeler dahil.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A3</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lang w:val="en-US"/>
                          </w:rPr>
                          <w:t>3794,27</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21 –</w:t>
                  </w:r>
                  <w:r w:rsidRPr="007802F9">
                    <w:rPr>
                      <w:rFonts w:ascii="Times New Roman" w:eastAsia="Times New Roman" w:hAnsi="Times New Roman" w:cs="Times New Roman"/>
                      <w:sz w:val="18"/>
                      <w:szCs w:val="18"/>
                    </w:rPr>
                    <w:t> Aynı Tebliğin “Birden Fazla Branşta Kullanılan Tıbbi Malzemeler” (EK 3/A) Listesinde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“OR2640” SUT kodlu tıbbi malzeme aşağıdaki şekilde yeniden düzenlenmiştir.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1107"/>
                    <w:gridCol w:w="2675"/>
                    <w:gridCol w:w="3876"/>
                    <w:gridCol w:w="847"/>
                  </w:tblGrid>
                  <w:tr w:rsidR="007802F9" w:rsidRPr="007802F9">
                    <w:trPr>
                      <w:trHeight w:val="20"/>
                      <w:jc w:val="center"/>
                    </w:trPr>
                    <w:tc>
                      <w:tcPr>
                        <w:tcW w:w="11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SUT KODU</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TIBBİ MALZEME ALAN TANIMI</w:t>
                        </w:r>
                      </w:p>
                    </w:tc>
                    <w:tc>
                      <w:tcPr>
                        <w:tcW w:w="4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AÇIKLAMA</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lang w:val="en-US"/>
                          </w:rPr>
                          <w:t>FİYATI</w:t>
                        </w:r>
                      </w:p>
                    </w:tc>
                  </w:tr>
                  <w:tr w:rsidR="007802F9" w:rsidRPr="007802F9">
                    <w:trPr>
                      <w:trHeight w:val="20"/>
                      <w:jc w:val="center"/>
                    </w:trPr>
                    <w:tc>
                      <w:tcPr>
                        <w:tcW w:w="11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OR2640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İNSİZYONEL KATETER SETİ, GÜMÜŞ KAPLI, HOMOJEN DAĞILIMLI</w:t>
                        </w:r>
                      </w:p>
                    </w:tc>
                    <w:tc>
                      <w:tcPr>
                        <w:tcW w:w="4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4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Tanıya dayalı işlemlerde ayrıca faturalandırılabilir</w:t>
                        </w:r>
                      </w:p>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(2) Aynı yatış döneminde en fazla bir adet faturalandırılabilir.</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950,00</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“KANAMA DURDURMADA KULLANILAN TIBBİ MALZEMELER” başlığının altındaki ödeme kriterlerive/veya kurallarında yer alan “3.1.29” ibaresi “3.3.29”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“VÜCUT DIŞI KANAMA DURDURMADA KULLANILAN TIBBİ MALZEMELER” başlığı, “KANAMA DURDURMADA KULLANILAN EMİLEMEYEN TIBBİ MALZEMELER”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ç)  “ENDOSKOPİK/CERRAHİ ALANDA KULLANILAN KANAMA DURDURMADA KULLANILAN TIBBİ MALZEMELER” başlığı, “KANAMA DURDURMADA KULLANILAN EMİLEBİLEN TIBBİ MALZEMELER” olarak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d) “OR4370”, “OR4380”, “OR4390” SUT kodlu tıbbi malzemeler aşağıdaki şekilde yeniden düzenlenmiştir.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1134"/>
                    <w:gridCol w:w="5016"/>
                    <w:gridCol w:w="1208"/>
                    <w:gridCol w:w="1147"/>
                  </w:tblGrid>
                  <w:tr w:rsidR="007802F9" w:rsidRPr="007802F9">
                    <w:trPr>
                      <w:trHeight w:val="20"/>
                      <w:jc w:val="center"/>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SUT KODU</w:t>
                        </w:r>
                      </w:p>
                    </w:tc>
                    <w:tc>
                      <w:tcPr>
                        <w:tcW w:w="5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TIBBİ MALZEME ALAN TANIMI</w:t>
                        </w:r>
                      </w:p>
                    </w:tc>
                    <w:tc>
                      <w:tcPr>
                        <w:tcW w:w="12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AÇIKLAMA</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FİYATI</w:t>
                        </w:r>
                      </w:p>
                    </w:tc>
                  </w:tr>
                  <w:tr w:rsidR="007802F9" w:rsidRPr="007802F9">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OR4370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BİTKİSEL HEMOSTATİK LİKİT/HEMOSTATİK ETKEN İÇEREN, TAMPON FORMU, 100 cm2'den büyük (Bitkiselhemostatik likit içeren ürünler için etken miktarı en az 10 ccolmalıdır.)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148,00</w:t>
                        </w:r>
                      </w:p>
                    </w:tc>
                  </w:tr>
                  <w:tr w:rsidR="007802F9" w:rsidRPr="007802F9">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OR4380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BİTKİSEL HEMOSTATİK LİKİT/HEMOSTATİK ETKEN İÇEREN, TAMPON FORMU, (100 cm2'den küçük) (Bitkiselhemostatik likit içeren ürünler için etken miktarı en az 5cc 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75,00</w:t>
                        </w:r>
                      </w:p>
                    </w:tc>
                  </w:tr>
                  <w:tr w:rsidR="007802F9" w:rsidRPr="007802F9">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OR4390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BİTKİSEL HEMOSTATİK LİKİT/HEMOSTATİK ETKEN İÇEREN, TAMPON FORMU, (100 cm2'den küçük) (Bitkiselhemostatik likit içeren ürünler için etken miktarı en az 3 ccolmalıdır.)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45,00</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e)  “OR4680” SUT kodlu tıbbi malzemeden sonra gelmek üzere başlığı ile beraber aşağıdaki SUT kodlu tıbbi malzeme eklenmiştir.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1134"/>
                    <w:gridCol w:w="3419"/>
                    <w:gridCol w:w="1735"/>
                    <w:gridCol w:w="2217"/>
                  </w:tblGrid>
                  <w:tr w:rsidR="007802F9" w:rsidRPr="007802F9">
                    <w:trPr>
                      <w:trHeight w:val="20"/>
                      <w:jc w:val="center"/>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SUT KODU</w:t>
                        </w:r>
                      </w:p>
                    </w:tc>
                    <w:tc>
                      <w:tcPr>
                        <w:tcW w:w="38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TIBBİ MALZEME ALAN TANIMI</w:t>
                        </w:r>
                      </w:p>
                    </w:tc>
                    <w:tc>
                      <w:tcPr>
                        <w:tcW w:w="18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AÇIKLAMA</w:t>
                        </w:r>
                      </w:p>
                    </w:tc>
                    <w:tc>
                      <w:tcPr>
                        <w:tcW w:w="2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FİYATI</w:t>
                        </w:r>
                      </w:p>
                    </w:tc>
                  </w:tr>
                  <w:tr w:rsidR="007802F9" w:rsidRPr="007802F9">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DERİ HASTALIKLARINDA YARA BAKIMI</w:t>
                        </w:r>
                      </w:p>
                    </w:tc>
                    <w:tc>
                      <w:tcPr>
                        <w:tcW w:w="1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2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r w:rsidR="007802F9" w:rsidRPr="007802F9">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OR4685</w:t>
                        </w: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EPİDERMOLİZİS BÜLLOZA YARA BAKIM SETİ</w:t>
                        </w:r>
                      </w:p>
                    </w:tc>
                    <w:tc>
                      <w:tcPr>
                        <w:tcW w:w="1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Bkz SUT 3.3.1 (13)</w:t>
                        </w:r>
                      </w:p>
                    </w:tc>
                    <w:tc>
                      <w:tcPr>
                        <w:tcW w:w="22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İşlem puanına dahildir.</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22 –</w:t>
                  </w:r>
                  <w:r w:rsidRPr="007802F9">
                    <w:rPr>
                      <w:rFonts w:ascii="Times New Roman" w:eastAsia="Times New Roman" w:hAnsi="Times New Roman" w:cs="Times New Roman"/>
                      <w:sz w:val="18"/>
                      <w:szCs w:val="18"/>
                    </w:rPr>
                    <w:t> Aynı Tebliğin “Omurga Cerrahisi Alan Grubuna Ait Tıbbi Malzemeler Listesi” nden (EK-3/E-1) “103.080” ve “103.085” SUT kodlu tıbbi malzemeler alt satırlarındaki ödeme kriterleri ve/veya kuralları ile birlikte çıkarılmış ve “103.075” SUT kodlu tıbbi malzemenin alt satırındaki ödeme kriterleri ve/veya kurallarından sonra gelmek üzere “103081”, “103082”, “103083” , “103084”  SUT kodlu tıbbi malzemeler aşağıdaki şekilde eklenmiştir.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lastRenderedPageBreak/>
                    <w:t> </w:t>
                  </w:r>
                </w:p>
                <w:tbl>
                  <w:tblPr>
                    <w:tblW w:w="8505" w:type="dxa"/>
                    <w:jc w:val="center"/>
                    <w:tblCellMar>
                      <w:left w:w="0" w:type="dxa"/>
                      <w:right w:w="0" w:type="dxa"/>
                    </w:tblCellMar>
                    <w:tblLook w:val="04A0" w:firstRow="1" w:lastRow="0" w:firstColumn="1" w:lastColumn="0" w:noHBand="0" w:noVBand="1"/>
                  </w:tblPr>
                  <w:tblGrid>
                    <w:gridCol w:w="946"/>
                    <w:gridCol w:w="6528"/>
                    <w:gridCol w:w="1031"/>
                  </w:tblGrid>
                  <w:tr w:rsidR="007802F9" w:rsidRPr="007802F9">
                    <w:trPr>
                      <w:trHeight w:val="20"/>
                      <w:jc w:val="center"/>
                    </w:trPr>
                    <w:tc>
                      <w:tcPr>
                        <w:tcW w:w="5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SUT KODU</w:t>
                        </w:r>
                      </w:p>
                    </w:tc>
                    <w:tc>
                      <w:tcPr>
                        <w:tcW w:w="3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ind w:firstLine="709"/>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TIBBİ MALZEME ALAN TANIMI</w:t>
                        </w:r>
                      </w:p>
                    </w:tc>
                    <w:tc>
                      <w:tcPr>
                        <w:tcW w:w="6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FİYAT (TL)</w:t>
                        </w:r>
                      </w:p>
                    </w:tc>
                  </w:tr>
                  <w:tr w:rsidR="007802F9" w:rsidRPr="007802F9">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103081</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PERKÜTAN FASET KOMPRESYON (KİLİTLEME) VİDASI, SERVİKAL</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4.140,00</w:t>
                        </w:r>
                      </w:p>
                    </w:tc>
                  </w:tr>
                  <w:tr w:rsidR="007802F9" w:rsidRPr="007802F9">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Sadece perkütan girişimlerde, servikal instabilite, faset eklem dejenerasyonu, disfonksiyonuna bağlı dirençli ağrılarda, servikal faset luksasyonu, 2 seviye ve üstü anterior servikal füzyonu desteklemekiçin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ind w:firstLine="709"/>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r w:rsidR="007802F9" w:rsidRPr="007802F9">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103082</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PERKÜTAN FASET KOMPRESYON (KİLİTLEME) VİDASI,  LOMBER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3.750,00</w:t>
                        </w:r>
                      </w:p>
                    </w:tc>
                  </w:tr>
                  <w:tr w:rsidR="007802F9" w:rsidRPr="007802F9">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Sadece perkütan girişimlerde, lomber instabilite, faset eklem dejenerasyonu, disfonksiyonuna bağlı dirençli ağrılarda, anterior füzyonu desteklemek için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ind w:firstLine="709"/>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r w:rsidR="007802F9" w:rsidRPr="007802F9">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103083</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PERKÜTAN FASET DİSTRAKSİYON APARATI, SERVİKAL</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4.140,00</w:t>
                        </w:r>
                      </w:p>
                    </w:tc>
                  </w:tr>
                  <w:tr w:rsidR="007802F9" w:rsidRPr="007802F9">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Sadece perkütan girişimlerde, servikal faset eklem dejenerasyonu, servikal foraminal stenoza bağlı dirençli ağrılarda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ind w:firstLine="709"/>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r w:rsidR="007802F9" w:rsidRPr="007802F9">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103084</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PERKÜTAN FASET DİSTRAKSİYON APARATI, LOMBER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3.750,00</w:t>
                        </w:r>
                      </w:p>
                    </w:tc>
                  </w:tr>
                  <w:tr w:rsidR="007802F9" w:rsidRPr="007802F9">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Sadece perkütan girişimlerde, lomber faset eklem dejenerasyonu, lomber foraminal stenoza bağlı dirençli ağrılarda,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ind w:firstLine="709"/>
                          <w:jc w:val="right"/>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23 –</w:t>
                  </w:r>
                  <w:r w:rsidRPr="007802F9">
                    <w:rPr>
                      <w:rFonts w:ascii="Times New Roman" w:eastAsia="Times New Roman" w:hAnsi="Times New Roman" w:cs="Times New Roman"/>
                      <w:sz w:val="18"/>
                      <w:szCs w:val="18"/>
                    </w:rPr>
                    <w:t> Aynı Tebliğin “Ortopedi ve Travmatoloji Branşı Artroskopi ve Eklem Cerrahisi Alan Grubuna Ait Tıbbi Malzemeler” Listesinde (EK-3/F-2) yer alan “AE2520”, “AE2530”, “AE2540” SUT kodlu tıbbi malzemeler aşağıdaki şekilde yeniden düzenlenmiştir.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738" w:type="dxa"/>
                    <w:jc w:val="center"/>
                    <w:tblCellMar>
                      <w:left w:w="0" w:type="dxa"/>
                      <w:right w:w="0" w:type="dxa"/>
                    </w:tblCellMar>
                    <w:tblLook w:val="04A0" w:firstRow="1" w:lastRow="0" w:firstColumn="1" w:lastColumn="0" w:noHBand="0" w:noVBand="1"/>
                  </w:tblPr>
                  <w:tblGrid>
                    <w:gridCol w:w="658"/>
                    <w:gridCol w:w="1697"/>
                    <w:gridCol w:w="1951"/>
                    <w:gridCol w:w="387"/>
                    <w:gridCol w:w="540"/>
                    <w:gridCol w:w="1260"/>
                    <w:gridCol w:w="1080"/>
                    <w:gridCol w:w="1165"/>
                  </w:tblGrid>
                  <w:tr w:rsidR="007802F9" w:rsidRPr="007802F9">
                    <w:trPr>
                      <w:trHeight w:val="20"/>
                      <w:jc w:val="center"/>
                    </w:trPr>
                    <w:tc>
                      <w:tcPr>
                        <w:tcW w:w="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4"/>
                            <w:szCs w:val="14"/>
                          </w:rPr>
                          <w:t>SUT KODU</w:t>
                        </w:r>
                      </w:p>
                    </w:tc>
                    <w:tc>
                      <w:tcPr>
                        <w:tcW w:w="6915"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4"/>
                            <w:szCs w:val="14"/>
                          </w:rPr>
                          <w:t>TIBBİ MALZEME ALAN TANIMI</w:t>
                        </w:r>
                      </w:p>
                    </w:tc>
                    <w:tc>
                      <w:tcPr>
                        <w:tcW w:w="11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4"/>
                            <w:szCs w:val="14"/>
                          </w:rPr>
                          <w:t>FİYAT (TL)</w:t>
                        </w:r>
                      </w:p>
                    </w:tc>
                  </w:tr>
                  <w:tr w:rsidR="007802F9" w:rsidRPr="007802F9">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AE2520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ORTA FALENGEAL KOMPONENT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700,00</w:t>
                        </w:r>
                      </w:p>
                    </w:tc>
                  </w:tr>
                  <w:tr w:rsidR="007802F9" w:rsidRPr="007802F9">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AE2530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ORTA VE PROKSİMAL FALENGEAL KOMPONENT KİT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1.350,00</w:t>
                        </w:r>
                      </w:p>
                    </w:tc>
                  </w:tr>
                  <w:tr w:rsidR="007802F9" w:rsidRPr="007802F9">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AE2540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PROKSİMALFALENGEAL KOMPONENT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right"/>
                          <w:rPr>
                            <w:rFonts w:ascii="Times New Roman" w:eastAsia="Times New Roman" w:hAnsi="Times New Roman" w:cs="Times New Roman"/>
                            <w:sz w:val="24"/>
                            <w:szCs w:val="24"/>
                          </w:rPr>
                        </w:pPr>
                        <w:r w:rsidRPr="007802F9">
                          <w:rPr>
                            <w:rFonts w:ascii="Arial Narrow" w:eastAsia="Times New Roman" w:hAnsi="Arial Narrow" w:cs="Times New Roman"/>
                            <w:sz w:val="14"/>
                            <w:szCs w:val="14"/>
                          </w:rPr>
                          <w:t> 700,00</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24 –</w:t>
                  </w:r>
                  <w:r w:rsidRPr="007802F9">
                    <w:rPr>
                      <w:rFonts w:ascii="Times New Roman" w:eastAsia="Times New Roman" w:hAnsi="Times New Roman" w:cs="Times New Roman"/>
                      <w:sz w:val="18"/>
                      <w:szCs w:val="18"/>
                    </w:rPr>
                    <w:t> Aynı Tebliğin “Ortopedi ve Travmatoloji Branşı Travma ve Rekonstrüksiyon alan Grubuna Ait Tıbbi Malzemeler Listesi”nde (EK-3/F-4) yer alan “TV1820” ve “TV1830” SUT kodlu tıbbi malzemeler aşağıdaki şekilde yeniden düzenlenmiştir.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503"/>
                    <w:gridCol w:w="807"/>
                    <w:gridCol w:w="690"/>
                    <w:gridCol w:w="711"/>
                    <w:gridCol w:w="1601"/>
                    <w:gridCol w:w="721"/>
                    <w:gridCol w:w="1392"/>
                    <w:gridCol w:w="1312"/>
                    <w:gridCol w:w="530"/>
                    <w:gridCol w:w="461"/>
                  </w:tblGrid>
                  <w:tr w:rsidR="007802F9" w:rsidRPr="007802F9">
                    <w:trPr>
                      <w:trHeight w:val="20"/>
                      <w:jc w:val="center"/>
                    </w:trPr>
                    <w:tc>
                      <w:tcPr>
                        <w:tcW w:w="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SUT KODU</w:t>
                        </w:r>
                      </w:p>
                    </w:tc>
                    <w:tc>
                      <w:tcPr>
                        <w:tcW w:w="4350" w:type="pct"/>
                        <w:gridSpan w:val="8"/>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TIBBİ MALZEME ALAN TANIMI</w:t>
                        </w:r>
                      </w:p>
                    </w:tc>
                    <w:tc>
                      <w:tcPr>
                        <w:tcW w:w="3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center"/>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FİYAT (TL)</w:t>
                        </w:r>
                      </w:p>
                    </w:tc>
                  </w:tr>
                  <w:tr w:rsidR="007802F9" w:rsidRPr="007802F9">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OPERASYON BÖLGESİ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CERRAHİ YAKLAŞIM</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BİÇİM</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ÜRÜN ÖZELLİĞİ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BOYUTSAL ÖZELLİK</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ŞEKİLSEL ÖZELLİK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MATERYAL</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b/>
                            <w:bCs/>
                            <w:sz w:val="12"/>
                            <w:szCs w:val="12"/>
                          </w:rPr>
                          <w:t> BOY</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w:t>
                        </w:r>
                      </w:p>
                    </w:tc>
                  </w:tr>
                  <w:tr w:rsidR="007802F9" w:rsidRPr="007802F9">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TV1820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PLAKLAR VE VİDALAR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İNTERNAL FİKSASYON</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KİLİTLİ PLAK SİSTEMLERİ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KİLİTLİ KOMBİNE/KOMPRESYONDELİK, SABİT/DEĞİŞKEN AÇILI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TÜM BOYLAR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PEDİATRİK KAMALI, KANÜLLÜ/ KANÜLSÜZ PLAK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ÇELİK</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TÜM BOYLAR</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720,00</w:t>
                        </w:r>
                      </w:p>
                    </w:tc>
                  </w:tr>
                  <w:tr w:rsidR="007802F9" w:rsidRPr="007802F9">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TV1830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PLAKLAR VE VİDALAR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İNTERNAL FİKSASYON</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KİLİTLİ PLAK SİSTEMLERİ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KİLİTLİ KOMBİNE/KOMPRESYON DELİK, SABİT/DEĞİŞKEN AÇILI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TÜM BOYLAR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PEDİATRİK KAMALI, KANÜLLÜ/KANÜLSÜZ PLAK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TİTANYUM/CoCr/KARBON</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TÜM BOYLAR</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0" w:lineRule="atLeast"/>
                          <w:jc w:val="both"/>
                          <w:rPr>
                            <w:rFonts w:ascii="Times New Roman" w:eastAsia="Times New Roman" w:hAnsi="Times New Roman" w:cs="Times New Roman"/>
                            <w:sz w:val="24"/>
                            <w:szCs w:val="24"/>
                          </w:rPr>
                        </w:pPr>
                        <w:r w:rsidRPr="007802F9">
                          <w:rPr>
                            <w:rFonts w:ascii="Arial Narrow" w:eastAsia="Times New Roman" w:hAnsi="Arial Narrow" w:cs="Times New Roman"/>
                            <w:sz w:val="12"/>
                            <w:szCs w:val="12"/>
                          </w:rPr>
                          <w:t> 800,00</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25 –</w:t>
                  </w:r>
                  <w:r w:rsidRPr="007802F9">
                    <w:rPr>
                      <w:rFonts w:ascii="Times New Roman" w:eastAsia="Times New Roman" w:hAnsi="Times New Roman" w:cs="Times New Roman"/>
                      <w:sz w:val="18"/>
                      <w:szCs w:val="18"/>
                    </w:rPr>
                    <w:t> Aynı Tebliğin “Nefroloji Branşına Ait Tıbbi Malzemeler” Listesinde (EK-3/P)  yer alan “NF1001” SUT kodlu tıbbi malzemenin fiyatı yeniden belirlenmiştir.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1371"/>
                    <w:gridCol w:w="5906"/>
                    <w:gridCol w:w="1228"/>
                  </w:tblGrid>
                  <w:tr w:rsidR="007802F9" w:rsidRPr="007802F9">
                    <w:trPr>
                      <w:trHeight w:val="255"/>
                      <w:jc w:val="center"/>
                    </w:trPr>
                    <w:tc>
                      <w:tcPr>
                        <w:tcW w:w="13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SUT KODU</w:t>
                        </w:r>
                      </w:p>
                    </w:tc>
                    <w:tc>
                      <w:tcPr>
                        <w:tcW w:w="59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TIBBİ MALZEME ALAN TANIMI</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FİYAT (TL)</w:t>
                        </w:r>
                      </w:p>
                    </w:tc>
                  </w:tr>
                  <w:tr w:rsidR="007802F9" w:rsidRPr="007802F9">
                    <w:trPr>
                      <w:trHeight w:val="255"/>
                      <w:jc w:val="center"/>
                    </w:trPr>
                    <w:tc>
                      <w:tcPr>
                        <w:tcW w:w="13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NF1001</w:t>
                        </w:r>
                      </w:p>
                    </w:tc>
                    <w:tc>
                      <w:tcPr>
                        <w:tcW w:w="5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KATETER, HEMODİYALİZ, GEÇİCİ, ERİŞKİN / HEPARİN KAPLI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center"/>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30,00</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26 –</w:t>
                  </w:r>
                  <w:r w:rsidRPr="007802F9">
                    <w:rPr>
                      <w:rFonts w:ascii="Times New Roman" w:eastAsia="Times New Roman" w:hAnsi="Times New Roman" w:cs="Times New Roman"/>
                      <w:sz w:val="18"/>
                      <w:szCs w:val="18"/>
                    </w:rPr>
                    <w:t> Aynı Tebliğin “Göğüs Hastalıkları ve Göğüs Cerrahisi Branşlarına Ait Tıbbi Malzemeler Listesi”nde (EK-3/S) yer alan “GHC1850” SUT kodlu tıbbi malzemeden sonra gelmek üzere “GHC1860” SUT kodlu tıbbi malzeme geri ödeme kural ve kriterleri ile birlikte aşağıdaki şekilde eklenmiştir.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1296"/>
                    <w:gridCol w:w="5807"/>
                    <w:gridCol w:w="1402"/>
                  </w:tblGrid>
                  <w:tr w:rsidR="007802F9" w:rsidRPr="007802F9">
                    <w:trPr>
                      <w:trHeight w:val="255"/>
                      <w:jc w:val="center"/>
                    </w:trPr>
                    <w:tc>
                      <w:tcPr>
                        <w:tcW w:w="14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SUT KODU</w:t>
                        </w:r>
                      </w:p>
                    </w:tc>
                    <w:tc>
                      <w:tcPr>
                        <w:tcW w:w="6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TIBBİ MALZEME ALAN TANIMI</w:t>
                        </w:r>
                      </w:p>
                    </w:tc>
                    <w:tc>
                      <w:tcPr>
                        <w:tcW w:w="15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b/>
                            <w:bCs/>
                            <w:sz w:val="18"/>
                            <w:szCs w:val="18"/>
                          </w:rPr>
                          <w:t>FİYAT (TL)</w:t>
                        </w:r>
                      </w:p>
                    </w:tc>
                  </w:tr>
                  <w:tr w:rsidR="007802F9" w:rsidRPr="007802F9">
                    <w:trPr>
                      <w:trHeight w:val="255"/>
                      <w:jc w:val="center"/>
                    </w:trPr>
                    <w:tc>
                      <w:tcPr>
                        <w:tcW w:w="1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GHC1860</w:t>
                        </w:r>
                      </w:p>
                    </w:tc>
                    <w:tc>
                      <w:tcPr>
                        <w:tcW w:w="6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DİYAFRAGMATİK PACE- ELEKTROT ve UYGULAMA SETİ (Tüm malzemeler dahil)</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50000,00</w:t>
                        </w:r>
                      </w:p>
                    </w:tc>
                  </w:tr>
                  <w:tr w:rsidR="007802F9" w:rsidRPr="007802F9">
                    <w:trPr>
                      <w:trHeight w:val="255"/>
                      <w:jc w:val="center"/>
                    </w:trPr>
                    <w:tc>
                      <w:tcPr>
                        <w:tcW w:w="1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6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Aşağıdaki geri ödeme kural ve kriterlerinin birlikte sağlandığı durumlarda Kurumca bedeli karşılanır.</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lastRenderedPageBreak/>
                          <w:t>a)  Sadece eğitim verme yetkisi olan üçüncü basamak resmi sağlık kurumları göğüs cerrahisi kliniklerinde,</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b)“Sağlık Bakanlığı Diyafragma Pili Bilimsel Danışma Komisyonu” tarafından onay verilen hastalarda</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kullanılması halinde Kurumca bedeli karşılanır.</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(2) Tanıya dayalı işlemlerde ayrıca faturalandırılabilir.</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lastRenderedPageBreak/>
                          <w:t> </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lastRenderedPageBreak/>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27 –</w:t>
                  </w:r>
                  <w:r w:rsidRPr="007802F9">
                    <w:rPr>
                      <w:rFonts w:ascii="Times New Roman" w:eastAsia="Times New Roman" w:hAnsi="Times New Roman" w:cs="Times New Roman"/>
                      <w:sz w:val="18"/>
                      <w:szCs w:val="18"/>
                    </w:rPr>
                    <w:t> Aynı Tebliğin “Anesteziyoloji, Reanimasyon ve Ağrı Tedavisi Branşına Ait Tıbbi Malzemeler” Listesinde (EK-3/T) “AN1260” ve “AN1270” SUT kodlu tıbbi malzemelerin altına ödeme kriterleri ve/veya kuralları olarak aşağıdaki satır eklenmiştir.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firstRow="1" w:lastRow="0" w:firstColumn="1" w:lastColumn="0" w:noHBand="0" w:noVBand="1"/>
                  </w:tblPr>
                  <w:tblGrid>
                    <w:gridCol w:w="1273"/>
                    <w:gridCol w:w="6412"/>
                    <w:gridCol w:w="820"/>
                  </w:tblGrid>
                  <w:tr w:rsidR="007802F9" w:rsidRPr="007802F9">
                    <w:trPr>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 Sadece 590.001 işlem kodunun kullanılması halinde Kurumca bedeli karşılanır.</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(2) İşlem kodu ile birlikte 3 (üç) günde en fazla 1(bir) adet faturalandırılabilir.</w:t>
                        </w:r>
                      </w:p>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(3) Yoğun bakım tanıya dayalı işlemlerinde ayrıca faturalandırılabilir.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28 –</w:t>
                  </w:r>
                  <w:r w:rsidRPr="007802F9">
                    <w:rPr>
                      <w:rFonts w:ascii="Times New Roman" w:eastAsia="Times New Roman" w:hAnsi="Times New Roman" w:cs="Times New Roman"/>
                      <w:sz w:val="18"/>
                      <w:szCs w:val="18"/>
                    </w:rPr>
                    <w:t> Aynı Tebliğ eki “Sistemik Antimikrobik ve Diğer İlaçların Reçeteleme Kuralları Listesi”nin (Ek-4/E) “11-ANTİVİRAL İLAÇLAR” başlıklı kısmının “A) HIV/AIDS Tedavisinde Kullanılan Spesifik İlaçlar” adlı alt bölümüne aşağıdaki (15) numaralı satır eklenmiştir.</w:t>
                  </w:r>
                </w:p>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433"/>
                    <w:gridCol w:w="1334"/>
                    <w:gridCol w:w="6738"/>
                  </w:tblGrid>
                  <w:tr w:rsidR="007802F9" w:rsidRPr="007802F9">
                    <w:trPr>
                      <w:jc w:val="center"/>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15</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2F9" w:rsidRPr="007802F9" w:rsidRDefault="007802F9" w:rsidP="007802F9">
                        <w:pPr>
                          <w:spacing w:after="0" w:line="240" w:lineRule="atLeast"/>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Dolutegravir</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EHU;</w:t>
                        </w:r>
                      </w:p>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HIV-1 ile enfekte ve integraz sınıfına dirençli olmayan hastalarda maksimum 1x1 dozunda;</w:t>
                        </w:r>
                      </w:p>
                      <w:p w:rsidR="007802F9" w:rsidRPr="007802F9" w:rsidRDefault="007802F9" w:rsidP="007802F9">
                        <w:pPr>
                          <w:spacing w:after="0" w:line="240" w:lineRule="atLeast"/>
                          <w:ind w:firstLine="709"/>
                          <w:jc w:val="both"/>
                          <w:rPr>
                            <w:rFonts w:ascii="Times New Roman" w:eastAsia="Times New Roman" w:hAnsi="Times New Roman" w:cs="Times New Roman"/>
                            <w:sz w:val="24"/>
                            <w:szCs w:val="24"/>
                          </w:rPr>
                        </w:pPr>
                        <w:r w:rsidRPr="007802F9">
                          <w:rPr>
                            <w:rFonts w:ascii="Times New Roman" w:eastAsia="Times New Roman" w:hAnsi="Times New Roman" w:cs="Times New Roman"/>
                            <w:sz w:val="18"/>
                            <w:szCs w:val="18"/>
                          </w:rPr>
                          <w:t> HIV-1 ile enfekte ve integraz sınıfına dirençli olan hastalarda ise maksimum 2x1 dozunda         kullanılır.</w:t>
                        </w:r>
                      </w:p>
                    </w:tc>
                  </w:tr>
                </w:tbl>
                <w:p w:rsidR="007802F9" w:rsidRPr="007802F9" w:rsidRDefault="007802F9" w:rsidP="007802F9">
                  <w:pPr>
                    <w:spacing w:after="0" w:line="240" w:lineRule="atLeast"/>
                    <w:jc w:val="center"/>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 </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29 –</w:t>
                  </w:r>
                  <w:r w:rsidRPr="007802F9">
                    <w:rPr>
                      <w:rFonts w:ascii="Times New Roman" w:eastAsia="Times New Roman" w:hAnsi="Times New Roman" w:cs="Times New Roman"/>
                      <w:sz w:val="18"/>
                      <w:szCs w:val="18"/>
                    </w:rPr>
                    <w:t> Aynı Tebliğ eki “Ayakta Tedavide Sağlık Raporu (Uzman Hekim Raporu/Sağlık Kurulu Raporu) ile Verilebilecek İlaçlar Listesi”nde (Ek-4/F)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58 numaralı maddesi aşağıdaki şekilde değiştirilmiştir.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“58. Eplerenon; Yalnızca spironolakton tedavisi altındayken jinekomasti gelişen veya spironolaktonu tolereedemeyen;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Akut MI sonrası klinik kalp yetmezliği olan sol ventrikül disfonksiyonlu (sol ventrikül ejeksiyon fraksiyonu ((LVEF)≤%40) hastaların tedavisinde,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Standart tedaviye ek olarak, kronik kalp yetmezliği (NYHA Sınıf II) ve sol ventrikül sistolik disfonksiyonu(LVEF ≤ %30) olan yetişkin hastaların tedavisinde,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kardiyoloji uzman hekimlerince düzenlenen rapora istinaden tüm hekimlerce reçetelenebilir.”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59 numaralı maddesine “serebral ataksi endikasyonunda” ibaresinden sonra gelmek üzere “ödenir”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30 –</w:t>
                  </w:r>
                  <w:r w:rsidRPr="007802F9">
                    <w:rPr>
                      <w:rFonts w:ascii="Times New Roman" w:eastAsia="Times New Roman" w:hAnsi="Times New Roman" w:cs="Times New Roman"/>
                      <w:sz w:val="18"/>
                      <w:szCs w:val="18"/>
                    </w:rPr>
                    <w:t> Aynı Tebliğ eki “Sadece Yatan Hastalarda Kullanımı Halinde Bedelleri Ödenecek İlaçlar Listesi”nde (Ek-4/G) aşağıdaki düzenlemeler yapılmıştır.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5 numaralı maddesinde yer alan “Gansiklovir” ibaresinden sonra gelmek üzere “Parenteral”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50 numaralı maddesinde yer alan “Adenozin” ibaresinden sonra gelmek üzere “6 mg/2 ml ve” ibaresi eklenmiştir.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31 –</w:t>
                  </w:r>
                  <w:r w:rsidRPr="007802F9">
                    <w:rPr>
                      <w:rFonts w:ascii="Times New Roman" w:eastAsia="Times New Roman" w:hAnsi="Times New Roman" w:cs="Times New Roman"/>
                      <w:sz w:val="18"/>
                      <w:szCs w:val="18"/>
                    </w:rPr>
                    <w:t> Bu Tebliğin;</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a) 6, 21 inci maddenin (b) bendi ile 27 nci maddesi 1/10/2014 tarihinden geçerli olmak üzere yayımı tarihinde,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b) 8 inci maddesi ile 21 inci maddenin (e) bendi 1/2/2015 tarihinden geçerli olmak üzere yayımı tarihinde,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c) 9,19 ve 21 inci maddenin (a) bendi ile 22 ila 25 inci maddeleri 1/3/2015 tarihinden geçerli olmak üzere yayımı tarihinde,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ç) 11 ila 18 inci maddeleri ile 28 ila 30 uncu maddeleri yayımı tarihinden 7 iş günü sonra,</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d) Diğer maddeleri yayımı tarihinde,</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sz w:val="18"/>
                      <w:szCs w:val="18"/>
                    </w:rPr>
                    <w:t>yürürlüğe girer.</w:t>
                  </w:r>
                </w:p>
                <w:p w:rsidR="007802F9" w:rsidRPr="007802F9" w:rsidRDefault="007802F9" w:rsidP="007802F9">
                  <w:pPr>
                    <w:spacing w:after="0" w:line="240" w:lineRule="atLeast"/>
                    <w:ind w:firstLine="566"/>
                    <w:jc w:val="both"/>
                    <w:rPr>
                      <w:rFonts w:ascii="Times New Roman" w:eastAsia="Times New Roman" w:hAnsi="Times New Roman" w:cs="Times New Roman"/>
                      <w:sz w:val="19"/>
                      <w:szCs w:val="19"/>
                    </w:rPr>
                  </w:pPr>
                  <w:r w:rsidRPr="007802F9">
                    <w:rPr>
                      <w:rFonts w:ascii="Times New Roman" w:eastAsia="Times New Roman" w:hAnsi="Times New Roman" w:cs="Times New Roman"/>
                      <w:b/>
                      <w:bCs/>
                      <w:sz w:val="18"/>
                      <w:szCs w:val="18"/>
                    </w:rPr>
                    <w:t>MADDE 32 –</w:t>
                  </w:r>
                  <w:r w:rsidRPr="007802F9">
                    <w:rPr>
                      <w:rFonts w:ascii="Times New Roman" w:eastAsia="Times New Roman" w:hAnsi="Times New Roman" w:cs="Times New Roman"/>
                      <w:sz w:val="18"/>
                      <w:szCs w:val="18"/>
                    </w:rPr>
                    <w:t> Bu Tebliğ hükümlerini Sosyal Güvenlik Kurumu Başkanı yürütür.</w:t>
                  </w:r>
                </w:p>
                <w:p w:rsidR="007802F9" w:rsidRPr="007802F9" w:rsidRDefault="007802F9" w:rsidP="007802F9">
                  <w:pPr>
                    <w:spacing w:before="100" w:beforeAutospacing="1" w:after="100" w:afterAutospacing="1" w:line="240" w:lineRule="auto"/>
                    <w:jc w:val="center"/>
                    <w:rPr>
                      <w:rFonts w:ascii="Times New Roman" w:eastAsia="Times New Roman" w:hAnsi="Times New Roman" w:cs="Times New Roman"/>
                      <w:sz w:val="24"/>
                      <w:szCs w:val="24"/>
                    </w:rPr>
                  </w:pPr>
                  <w:r w:rsidRPr="007802F9">
                    <w:rPr>
                      <w:rFonts w:ascii="Arial" w:eastAsia="Times New Roman" w:hAnsi="Arial" w:cs="Arial"/>
                      <w:b/>
                      <w:bCs/>
                      <w:color w:val="000080"/>
                      <w:sz w:val="18"/>
                      <w:szCs w:val="18"/>
                    </w:rPr>
                    <w:t> </w:t>
                  </w:r>
                </w:p>
              </w:tc>
            </w:tr>
          </w:tbl>
          <w:p w:rsidR="007802F9" w:rsidRPr="007802F9" w:rsidRDefault="007802F9" w:rsidP="007802F9">
            <w:pPr>
              <w:spacing w:after="0" w:line="240" w:lineRule="auto"/>
              <w:rPr>
                <w:rFonts w:ascii="Times New Roman" w:eastAsia="Times New Roman" w:hAnsi="Times New Roman" w:cs="Times New Roman"/>
                <w:sz w:val="24"/>
                <w:szCs w:val="24"/>
              </w:rPr>
            </w:pPr>
          </w:p>
        </w:tc>
      </w:tr>
    </w:tbl>
    <w:p w:rsidR="007802F9" w:rsidRPr="007802F9" w:rsidRDefault="007802F9" w:rsidP="007802F9">
      <w:pPr>
        <w:spacing w:after="0" w:line="240" w:lineRule="auto"/>
        <w:jc w:val="center"/>
        <w:rPr>
          <w:rFonts w:ascii="Times New Roman" w:eastAsia="Times New Roman" w:hAnsi="Times New Roman" w:cs="Times New Roman"/>
          <w:color w:val="000000"/>
          <w:sz w:val="27"/>
          <w:szCs w:val="27"/>
        </w:rPr>
      </w:pPr>
      <w:r w:rsidRPr="007802F9">
        <w:rPr>
          <w:rFonts w:ascii="Times New Roman" w:eastAsia="Times New Roman" w:hAnsi="Times New Roman" w:cs="Times New Roman"/>
          <w:color w:val="000000"/>
          <w:sz w:val="27"/>
          <w:szCs w:val="27"/>
        </w:rPr>
        <w:lastRenderedPageBreak/>
        <w:t> </w:t>
      </w:r>
    </w:p>
    <w:p w:rsidR="00F05593" w:rsidRDefault="00F05593"/>
    <w:sectPr w:rsidR="00F05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F9"/>
    <w:rsid w:val="00230931"/>
    <w:rsid w:val="007802F9"/>
    <w:rsid w:val="00F05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9CB2-BD57-452F-8B17-E57A648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802F9"/>
  </w:style>
  <w:style w:type="paragraph" w:styleId="NormalWeb">
    <w:name w:val="Normal (Web)"/>
    <w:basedOn w:val="Normal"/>
    <w:uiPriority w:val="99"/>
    <w:unhideWhenUsed/>
    <w:rsid w:val="007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7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7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780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802F9"/>
  </w:style>
  <w:style w:type="character" w:customStyle="1" w:styleId="grame">
    <w:name w:val="grame"/>
    <w:basedOn w:val="VarsaylanParagrafYazTipi"/>
    <w:rsid w:val="007802F9"/>
  </w:style>
  <w:style w:type="character" w:customStyle="1" w:styleId="spelle">
    <w:name w:val="spelle"/>
    <w:basedOn w:val="VarsaylanParagrafYazTipi"/>
    <w:rsid w:val="007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9863">
      <w:bodyDiv w:val="1"/>
      <w:marLeft w:val="0"/>
      <w:marRight w:val="0"/>
      <w:marTop w:val="0"/>
      <w:marBottom w:val="0"/>
      <w:divBdr>
        <w:top w:val="none" w:sz="0" w:space="0" w:color="auto"/>
        <w:left w:val="none" w:sz="0" w:space="0" w:color="auto"/>
        <w:bottom w:val="none" w:sz="0" w:space="0" w:color="auto"/>
        <w:right w:val="none" w:sz="0" w:space="0" w:color="auto"/>
      </w:divBdr>
    </w:div>
    <w:div w:id="16755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4911</Words>
  <Characters>27999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 Tarık ALTUN</dc:creator>
  <cp:keywords/>
  <dc:description/>
  <cp:lastModifiedBy>Kullanıcı</cp:lastModifiedBy>
  <cp:revision>2</cp:revision>
  <dcterms:created xsi:type="dcterms:W3CDTF">2015-02-20T13:11:00Z</dcterms:created>
  <dcterms:modified xsi:type="dcterms:W3CDTF">2015-02-20T13:11:00Z</dcterms:modified>
</cp:coreProperties>
</file>