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2A1ABF" w:rsidRPr="002A1ABF" w:rsidTr="002A1ABF">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A1ABF" w:rsidRPr="002A1ABF" w:rsidRDefault="002A1ABF" w:rsidP="002A1ABF">
            <w:pPr>
              <w:spacing w:after="0" w:line="240" w:lineRule="atLeast"/>
              <w:rPr>
                <w:rFonts w:ascii="Times New Roman" w:eastAsia="Times New Roman" w:hAnsi="Times New Roman" w:cs="Times New Roman"/>
                <w:sz w:val="24"/>
                <w:szCs w:val="24"/>
                <w:lang w:eastAsia="tr-TR"/>
              </w:rPr>
            </w:pPr>
            <w:r w:rsidRPr="002A1ABF">
              <w:rPr>
                <w:rFonts w:ascii="Arial" w:eastAsia="Times New Roman" w:hAnsi="Arial" w:cs="Arial"/>
                <w:sz w:val="16"/>
                <w:szCs w:val="16"/>
                <w:lang w:eastAsia="tr-TR"/>
              </w:rPr>
              <w:t>1 Ağustos </w:t>
            </w:r>
            <w:r w:rsidRPr="002A1ABF">
              <w:rPr>
                <w:rFonts w:ascii="Arial" w:eastAsia="Times New Roman" w:hAnsi="Arial" w:cs="Arial"/>
                <w:sz w:val="16"/>
                <w:lang w:eastAsia="tr-TR"/>
              </w:rPr>
              <w:t>2013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A1ABF" w:rsidRPr="002A1ABF" w:rsidRDefault="002A1ABF" w:rsidP="002A1ABF">
            <w:pPr>
              <w:spacing w:after="0" w:line="240" w:lineRule="atLeast"/>
              <w:jc w:val="center"/>
              <w:rPr>
                <w:rFonts w:ascii="Times New Roman" w:eastAsia="Times New Roman" w:hAnsi="Times New Roman" w:cs="Times New Roman"/>
                <w:sz w:val="24"/>
                <w:szCs w:val="24"/>
                <w:lang w:eastAsia="tr-TR"/>
              </w:rPr>
            </w:pPr>
            <w:r w:rsidRPr="002A1ABF">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A1ABF" w:rsidRPr="002A1ABF" w:rsidRDefault="002A1ABF" w:rsidP="002A1ABF">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A1ABF">
              <w:rPr>
                <w:rFonts w:ascii="Arial" w:eastAsia="Times New Roman" w:hAnsi="Arial" w:cs="Arial"/>
                <w:sz w:val="16"/>
                <w:szCs w:val="16"/>
                <w:lang w:eastAsia="tr-TR"/>
              </w:rPr>
              <w:t>Sayı : 28725</w:t>
            </w:r>
            <w:proofErr w:type="gramEnd"/>
          </w:p>
        </w:tc>
      </w:tr>
      <w:tr w:rsidR="002A1ABF" w:rsidRPr="002A1ABF" w:rsidTr="002A1ABF">
        <w:trPr>
          <w:trHeight w:val="480"/>
        </w:trPr>
        <w:tc>
          <w:tcPr>
            <w:tcW w:w="8789" w:type="dxa"/>
            <w:gridSpan w:val="3"/>
            <w:tcMar>
              <w:top w:w="0" w:type="dxa"/>
              <w:left w:w="108" w:type="dxa"/>
              <w:bottom w:w="0" w:type="dxa"/>
              <w:right w:w="108" w:type="dxa"/>
            </w:tcMar>
            <w:vAlign w:val="center"/>
            <w:hideMark/>
          </w:tcPr>
          <w:p w:rsidR="002A1ABF" w:rsidRPr="002A1ABF" w:rsidRDefault="002A1ABF" w:rsidP="002A1AB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A1ABF">
              <w:rPr>
                <w:rFonts w:ascii="Arial" w:eastAsia="Times New Roman" w:hAnsi="Arial" w:cs="Arial"/>
                <w:b/>
                <w:bCs/>
                <w:color w:val="000080"/>
                <w:sz w:val="18"/>
                <w:szCs w:val="18"/>
                <w:lang w:eastAsia="tr-TR"/>
              </w:rPr>
              <w:t>TEBLİĞ</w:t>
            </w:r>
          </w:p>
        </w:tc>
      </w:tr>
    </w:tbl>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sz w:val="18"/>
          <w:szCs w:val="18"/>
          <w:lang w:eastAsia="tr-TR"/>
        </w:rPr>
        <w:t>Sosyal Güvenlik Kurumundan:</w:t>
      </w:r>
    </w:p>
    <w:p w:rsidR="002A1ABF" w:rsidRPr="002A1ABF" w:rsidRDefault="002A1ABF" w:rsidP="002A1ABF">
      <w:pPr>
        <w:spacing w:before="100" w:beforeAutospacing="1" w:after="100" w:afterAutospacing="1" w:line="240" w:lineRule="atLeast"/>
        <w:jc w:val="center"/>
        <w:rPr>
          <w:rFonts w:ascii="Times New Roman" w:eastAsia="Times New Roman" w:hAnsi="Times New Roman" w:cs="Times New Roman"/>
          <w:sz w:val="27"/>
          <w:szCs w:val="27"/>
          <w:lang w:eastAsia="tr-TR"/>
        </w:rPr>
      </w:pPr>
      <w:r w:rsidRPr="002A1ABF">
        <w:rPr>
          <w:rFonts w:ascii="Verdana" w:eastAsia="Times New Roman" w:hAnsi="Verdana" w:cs="Times New Roman"/>
          <w:b/>
          <w:bCs/>
          <w:sz w:val="18"/>
          <w:lang w:eastAsia="tr-TR"/>
        </w:rPr>
        <w:t xml:space="preserve">SOSYAL </w:t>
      </w:r>
      <w:r w:rsidRPr="002A1ABF">
        <w:rPr>
          <w:rFonts w:ascii="Verdana" w:eastAsia="Times New Roman" w:hAnsi="Verdana" w:cs="Times New Roman"/>
          <w:b/>
          <w:bCs/>
          <w:color w:val="FF0000"/>
          <w:sz w:val="18"/>
          <w:lang w:eastAsia="tr-TR"/>
        </w:rPr>
        <w:t>GÜVENLİK</w:t>
      </w:r>
      <w:r w:rsidRPr="002A1ABF">
        <w:rPr>
          <w:rFonts w:ascii="Verdana" w:eastAsia="Times New Roman" w:hAnsi="Verdana" w:cs="Times New Roman"/>
          <w:b/>
          <w:bCs/>
          <w:sz w:val="18"/>
          <w:lang w:eastAsia="tr-TR"/>
        </w:rPr>
        <w:t xml:space="preserve"> KURUMU </w:t>
      </w:r>
      <w:r w:rsidRPr="002A1ABF">
        <w:rPr>
          <w:rFonts w:ascii="Verdana" w:eastAsia="Times New Roman" w:hAnsi="Verdana" w:cs="Times New Roman"/>
          <w:b/>
          <w:bCs/>
          <w:color w:val="FF0000"/>
          <w:sz w:val="18"/>
          <w:lang w:eastAsia="tr-TR"/>
        </w:rPr>
        <w:t>SAĞLIK</w:t>
      </w:r>
      <w:r w:rsidRPr="002A1ABF">
        <w:rPr>
          <w:rFonts w:ascii="Verdana" w:eastAsia="Times New Roman" w:hAnsi="Verdana" w:cs="Times New Roman"/>
          <w:b/>
          <w:bCs/>
          <w:sz w:val="18"/>
          <w:lang w:eastAsia="tr-TR"/>
        </w:rPr>
        <w:t xml:space="preserve"> UYGULAMA TEBLİĞİNDE</w:t>
      </w:r>
      <w:r w:rsidRPr="002A1ABF">
        <w:rPr>
          <w:rFonts w:ascii="Verdana" w:eastAsia="Times New Roman" w:hAnsi="Verdana" w:cs="Times New Roman"/>
          <w:b/>
          <w:bCs/>
          <w:sz w:val="18"/>
          <w:szCs w:val="18"/>
          <w:lang w:eastAsia="tr-TR"/>
        </w:rPr>
        <w:br/>
      </w:r>
      <w:r w:rsidRPr="002A1ABF">
        <w:rPr>
          <w:rFonts w:ascii="Verdana" w:eastAsia="Times New Roman" w:hAnsi="Verdana" w:cs="Times New Roman"/>
          <w:b/>
          <w:bCs/>
          <w:sz w:val="18"/>
          <w:lang w:eastAsia="tr-TR"/>
        </w:rPr>
        <w:t>DEĞİŞİKLİK YAPILMASINA DAİR TEBLİĞ</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b/>
          <w:bCs/>
          <w:sz w:val="18"/>
          <w:szCs w:val="18"/>
          <w:lang w:eastAsia="tr-TR"/>
        </w:rPr>
        <w:t>MADDE 1 – </w:t>
      </w:r>
      <w:proofErr w:type="gramStart"/>
      <w:r w:rsidRPr="002A1ABF">
        <w:rPr>
          <w:rFonts w:ascii="Verdana" w:eastAsia="Times New Roman" w:hAnsi="Verdana" w:cs="Times New Roman"/>
          <w:sz w:val="18"/>
          <w:lang w:eastAsia="tr-TR"/>
        </w:rPr>
        <w:t>24/3/2013</w:t>
      </w:r>
      <w:proofErr w:type="gramEnd"/>
      <w:r w:rsidRPr="002A1ABF">
        <w:rPr>
          <w:rFonts w:ascii="Verdana" w:eastAsia="Times New Roman" w:hAnsi="Verdana" w:cs="Times New Roman"/>
          <w:sz w:val="18"/>
          <w:szCs w:val="18"/>
          <w:lang w:eastAsia="tr-TR"/>
        </w:rPr>
        <w:t> tarihli ve 28597 sayılı Resmî Gazete’de yayımlanan Sosyal Güvenlik Kurumu Sağlık Uygulama Tebliğinin 1.9.1 numaralı maddesinin birinci fıkrası aşağıdaki şekilde düzenlenmiştir.</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sz w:val="18"/>
          <w:szCs w:val="18"/>
          <w:lang w:eastAsia="tr-TR"/>
        </w:rPr>
        <w:t>“(1) İlave ücret alınması uygulamasında;</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sz w:val="18"/>
          <w:szCs w:val="18"/>
          <w:lang w:eastAsia="tr-TR"/>
        </w:rPr>
        <w:t>a) Kurumla sözleşmeli; vakıf üniversiteleri ile özel sağlık kurum ve kuruluşları; SUT ve eklerinde yer alan sağlık hizmetleri işlem bedellerinin tamamı üzerinden Kurumca belirlenen oranı geçmemek kaydıyla Kuruma fatura edilebilen tutarlar esas alınarak kişilerden ilave ücret alabilir.</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sz w:val="18"/>
          <w:szCs w:val="18"/>
          <w:lang w:eastAsia="tr-TR"/>
        </w:rPr>
        <w:t>b) Yükseköğretim kurumlarına ait sağlık hizmeti sunucularında (vakıf üniversiteleri hariç) öğretim üyeleri tarafından mesai saatleri dışında bizzat verilen sağlık hizmetleri için poliklinik muayenelerinde bir katını, diğer hizmetlerde yüzde ellisini geçmemek üzere, Kuruma fatura edilebilen tutarlar esas alınarak kişilerden ilave ücret alınabilir. Ancak alınacak ilave ücret bir defada asgari ücretin iki katını geçemez.</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sz w:val="18"/>
          <w:szCs w:val="18"/>
          <w:lang w:eastAsia="tr-TR"/>
        </w:rPr>
        <w:t xml:space="preserve">c) SUT eki EK-2/B, EK-2/C, EK-2/Ç listelerinde yer alan işlemlerin bedellerine ilave olarak Kuruma ayrıca faturalandırılabilen tıbbi malzeme ve ilaçlar ile SUT eki EK-2/A Listesindeki </w:t>
      </w:r>
      <w:proofErr w:type="gramStart"/>
      <w:r w:rsidRPr="002A1ABF">
        <w:rPr>
          <w:rFonts w:ascii="Verdana" w:eastAsia="Times New Roman" w:hAnsi="Verdana" w:cs="Times New Roman"/>
          <w:sz w:val="18"/>
          <w:szCs w:val="18"/>
          <w:lang w:eastAsia="tr-TR"/>
        </w:rPr>
        <w:t>tutarlara</w:t>
      </w:r>
      <w:proofErr w:type="gramEnd"/>
      <w:r w:rsidRPr="002A1ABF">
        <w:rPr>
          <w:rFonts w:ascii="Verdana" w:eastAsia="Times New Roman" w:hAnsi="Verdana" w:cs="Times New Roman"/>
          <w:sz w:val="18"/>
          <w:szCs w:val="18"/>
          <w:lang w:eastAsia="tr-TR"/>
        </w:rPr>
        <w:t> </w:t>
      </w:r>
      <w:r w:rsidRPr="002A1ABF">
        <w:rPr>
          <w:rFonts w:ascii="Verdana" w:eastAsia="Times New Roman" w:hAnsi="Verdana" w:cs="Times New Roman"/>
          <w:sz w:val="18"/>
          <w:lang w:eastAsia="tr-TR"/>
        </w:rPr>
        <w:t>dahil</w:t>
      </w:r>
      <w:r w:rsidRPr="002A1ABF">
        <w:rPr>
          <w:rFonts w:ascii="Verdana" w:eastAsia="Times New Roman" w:hAnsi="Verdana" w:cs="Times New Roman"/>
          <w:sz w:val="18"/>
          <w:szCs w:val="18"/>
          <w:lang w:eastAsia="tr-TR"/>
        </w:rPr>
        <w:t> olan işlemler için ayrıca ilave ücret alınamaz.”</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b/>
          <w:bCs/>
          <w:sz w:val="18"/>
          <w:szCs w:val="18"/>
          <w:lang w:eastAsia="tr-TR"/>
        </w:rPr>
        <w:t>MADDE 2 – </w:t>
      </w:r>
      <w:r w:rsidRPr="002A1ABF">
        <w:rPr>
          <w:rFonts w:ascii="Verdana" w:eastAsia="Times New Roman" w:hAnsi="Verdana" w:cs="Times New Roman"/>
          <w:sz w:val="18"/>
          <w:szCs w:val="18"/>
          <w:lang w:eastAsia="tr-TR"/>
        </w:rPr>
        <w:t>Aynı Tebliğin 1.9.3 numaralı maddesinin birinci fıkrasının ilk cümlesi aşağıdaki şekilde düzenlenmiştir.</w:t>
      </w:r>
    </w:p>
    <w:p w:rsidR="002A1ABF" w:rsidRPr="002A1ABF" w:rsidRDefault="002A1ABF" w:rsidP="002A1ABF">
      <w:pPr>
        <w:spacing w:before="100" w:beforeAutospacing="1" w:after="100" w:afterAutospacing="1" w:line="240" w:lineRule="atLeast"/>
        <w:jc w:val="both"/>
        <w:rPr>
          <w:rFonts w:ascii="Times New Roman" w:eastAsia="Times New Roman" w:hAnsi="Times New Roman" w:cs="Times New Roman"/>
          <w:sz w:val="27"/>
          <w:szCs w:val="27"/>
          <w:lang w:eastAsia="tr-TR"/>
        </w:rPr>
      </w:pPr>
      <w:r w:rsidRPr="002A1ABF">
        <w:rPr>
          <w:rFonts w:ascii="Verdana" w:eastAsia="Times New Roman" w:hAnsi="Verdana" w:cs="Times New Roman"/>
          <w:sz w:val="18"/>
          <w:szCs w:val="18"/>
          <w:lang w:eastAsia="tr-TR"/>
        </w:rPr>
        <w:t>“Aşağıda belirtilen sağlık hizmetleri için (Yükseköğretim kurumlarına ait sağlık hizmeti sunucularında (vakıf üniversiteleri hariç) öğretim üyesi tarafından </w:t>
      </w:r>
      <w:proofErr w:type="spellStart"/>
      <w:r w:rsidRPr="002A1ABF">
        <w:rPr>
          <w:rFonts w:ascii="Verdana" w:eastAsia="Times New Roman" w:hAnsi="Verdana" w:cs="Times New Roman"/>
          <w:sz w:val="18"/>
          <w:lang w:eastAsia="tr-TR"/>
        </w:rPr>
        <w:t>SUT’un</w:t>
      </w:r>
      <w:proofErr w:type="spellEnd"/>
      <w:r w:rsidRPr="002A1ABF">
        <w:rPr>
          <w:rFonts w:ascii="Verdana" w:eastAsia="Times New Roman" w:hAnsi="Verdana" w:cs="Times New Roman"/>
          <w:sz w:val="18"/>
          <w:szCs w:val="18"/>
          <w:lang w:eastAsia="tr-TR"/>
        </w:rPr>
        <w:t> 2.1.1 numaralı maddesi kapsamında verilen sağlık hizmetleri hariç) hiçbir ilave ücret alınamaz.”</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b/>
          <w:bCs/>
          <w:sz w:val="18"/>
          <w:szCs w:val="18"/>
          <w:lang w:eastAsia="tr-TR"/>
        </w:rPr>
        <w:t>MADDE 3 –</w:t>
      </w:r>
      <w:r w:rsidRPr="002A1ABF">
        <w:rPr>
          <w:rFonts w:ascii="Verdana" w:eastAsia="Times New Roman" w:hAnsi="Verdana" w:cs="Times New Roman"/>
          <w:sz w:val="18"/>
          <w:szCs w:val="18"/>
          <w:lang w:eastAsia="tr-TR"/>
        </w:rPr>
        <w:t> Aynı Tebliğin 2.2.1.B-1 numaralı maddesinin on ikinci fıkrası aşağıdaki şekilde düzenlenmiştir.</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sz w:val="18"/>
          <w:szCs w:val="18"/>
          <w:lang w:eastAsia="tr-TR"/>
        </w:rPr>
        <w:t xml:space="preserve">“(12) Ayaktan başvurularda özel sağlık hizmeti sunucuları için günlük muayene sınırı acil servis/polikliniğe başvurular hariç olmak üzere, sağlık hizmeti sunucusundaki sözleşme kapsamında çalışan hekimlerin çalışma saatlerinin 6 ile çarpılması ile bulunur. Her bir hekim için günlük muayene sayısı her halükarda 60’ı geçemez. Ancak göz </w:t>
      </w:r>
      <w:proofErr w:type="spellStart"/>
      <w:r w:rsidRPr="002A1ABF">
        <w:rPr>
          <w:rFonts w:ascii="Verdana" w:eastAsia="Times New Roman" w:hAnsi="Verdana" w:cs="Times New Roman"/>
          <w:sz w:val="18"/>
          <w:szCs w:val="18"/>
          <w:lang w:eastAsia="tr-TR"/>
        </w:rPr>
        <w:t>hastalıkları</w:t>
      </w:r>
      <w:r w:rsidRPr="002A1ABF">
        <w:rPr>
          <w:rFonts w:ascii="Verdana" w:eastAsia="Times New Roman" w:hAnsi="Verdana" w:cs="Times New Roman"/>
          <w:sz w:val="18"/>
          <w:lang w:eastAsia="tr-TR"/>
        </w:rPr>
        <w:t>branşında</w:t>
      </w:r>
      <w:proofErr w:type="spellEnd"/>
      <w:r w:rsidRPr="002A1ABF">
        <w:rPr>
          <w:rFonts w:ascii="Verdana" w:eastAsia="Times New Roman" w:hAnsi="Verdana" w:cs="Times New Roman"/>
          <w:sz w:val="18"/>
          <w:szCs w:val="18"/>
          <w:lang w:eastAsia="tr-TR"/>
        </w:rPr>
        <w:t> günlük muayene sınırı çalışma saatlerinin 4 ile çarpılması ile bulunur. Her bir göz hastalıkları uzman hekimi için günlük muayene sayısı her halükarda 40’ı geçemez. SUT eki EK-2/B Listesindeki 617340, 617341, 617342 kodlu işlemler ile EK-2/C Listesindeki P617340, P617341, P617342 kodlu işlemlerin yapılması halinde her bir işlem için hekim çalışma saatinden 30 dakika düşülerek yeni günlük muayene sayısı hesaplanır. Özel sağlık hizmeti sunucuları her bir hekim için ayrı </w:t>
      </w:r>
      <w:r w:rsidRPr="002A1ABF">
        <w:rPr>
          <w:rFonts w:ascii="Verdana" w:eastAsia="Times New Roman" w:hAnsi="Verdana" w:cs="Times New Roman"/>
          <w:sz w:val="18"/>
          <w:lang w:eastAsia="tr-TR"/>
        </w:rPr>
        <w:t>ayrı</w:t>
      </w:r>
      <w:r w:rsidRPr="002A1ABF">
        <w:rPr>
          <w:rFonts w:ascii="Verdana" w:eastAsia="Times New Roman" w:hAnsi="Verdana" w:cs="Times New Roman"/>
          <w:sz w:val="18"/>
          <w:szCs w:val="18"/>
          <w:lang w:eastAsia="tr-TR"/>
        </w:rPr>
        <w:t> olmak üzere bu sınırlarda muayene fatura edebilir. Bu sınırlar aşıldıktan sonra kabul edilen hastalar için yapılan işlemler Kuruma faturalandırılamaz.”</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b/>
          <w:bCs/>
          <w:sz w:val="18"/>
          <w:szCs w:val="18"/>
          <w:lang w:eastAsia="tr-TR"/>
        </w:rPr>
        <w:t>MADDE 4 – </w:t>
      </w:r>
      <w:r w:rsidRPr="002A1ABF">
        <w:rPr>
          <w:rFonts w:ascii="Verdana" w:eastAsia="Times New Roman" w:hAnsi="Verdana" w:cs="Times New Roman"/>
          <w:sz w:val="18"/>
          <w:szCs w:val="18"/>
          <w:lang w:eastAsia="tr-TR"/>
        </w:rPr>
        <w:t>Aynı Tebliğin 2.2.1.B-2 numaralı maddesinin ikinci fıkrasına aşağıdaki bent eklenmiştir.</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sz w:val="18"/>
          <w:szCs w:val="18"/>
          <w:lang w:eastAsia="tr-TR"/>
        </w:rPr>
        <w:t>“ğ) Alkol, madde bağımlılığı tedavisi,”</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b/>
          <w:bCs/>
          <w:sz w:val="18"/>
          <w:szCs w:val="18"/>
          <w:lang w:eastAsia="tr-TR"/>
        </w:rPr>
        <w:lastRenderedPageBreak/>
        <w:t>MADDE 5 –</w:t>
      </w:r>
      <w:r w:rsidRPr="002A1ABF">
        <w:rPr>
          <w:rFonts w:ascii="Verdana" w:eastAsia="Times New Roman" w:hAnsi="Verdana" w:cs="Times New Roman"/>
          <w:sz w:val="18"/>
          <w:szCs w:val="18"/>
          <w:lang w:eastAsia="tr-TR"/>
        </w:rPr>
        <w:t> Aynı Tebliğin 2.4.1 numaralı maddesinin dördüncü fıkrası aşağıdaki şekilde düzenlenmiştir.</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sz w:val="18"/>
          <w:szCs w:val="18"/>
          <w:lang w:eastAsia="tr-TR"/>
        </w:rPr>
        <w:t>“(4) 18 yaşını doldurmuş kişilerin </w:t>
      </w:r>
      <w:proofErr w:type="spellStart"/>
      <w:r w:rsidRPr="002A1ABF">
        <w:rPr>
          <w:rFonts w:ascii="Verdana" w:eastAsia="Times New Roman" w:hAnsi="Verdana" w:cs="Times New Roman"/>
          <w:sz w:val="18"/>
          <w:lang w:eastAsia="tr-TR"/>
        </w:rPr>
        <w:t>ortodontik</w:t>
      </w:r>
      <w:proofErr w:type="spellEnd"/>
      <w:r w:rsidRPr="002A1ABF">
        <w:rPr>
          <w:rFonts w:ascii="Verdana" w:eastAsia="Times New Roman" w:hAnsi="Verdana" w:cs="Times New Roman"/>
          <w:sz w:val="18"/>
          <w:szCs w:val="18"/>
          <w:lang w:eastAsia="tr-TR"/>
        </w:rPr>
        <w:t> diş tedavilerine ilişkin giderler Kurumca ödenmez. Ancak 18 yaşını doldurmuş kişinin </w:t>
      </w:r>
      <w:proofErr w:type="spellStart"/>
      <w:r w:rsidRPr="002A1ABF">
        <w:rPr>
          <w:rFonts w:ascii="Verdana" w:eastAsia="Times New Roman" w:hAnsi="Verdana" w:cs="Times New Roman"/>
          <w:sz w:val="18"/>
          <w:lang w:eastAsia="tr-TR"/>
        </w:rPr>
        <w:t>ortodontik</w:t>
      </w:r>
      <w:proofErr w:type="spellEnd"/>
      <w:r w:rsidRPr="002A1ABF">
        <w:rPr>
          <w:rFonts w:ascii="Verdana" w:eastAsia="Times New Roman" w:hAnsi="Verdana" w:cs="Times New Roman"/>
          <w:sz w:val="18"/>
          <w:szCs w:val="18"/>
          <w:lang w:eastAsia="tr-TR"/>
        </w:rPr>
        <w:t> diş tedavisi 5510 sayılı Kanunun genel sağlık sigortasına ilişkin hükümlerinin yürürlük tarihi öncesinde başlamış ve devam ediyor ise söz konusu tedavi bedelleri karşılanır. Sınıf I, II, III ve </w:t>
      </w:r>
      <w:proofErr w:type="spellStart"/>
      <w:r w:rsidRPr="002A1ABF">
        <w:rPr>
          <w:rFonts w:ascii="Verdana" w:eastAsia="Times New Roman" w:hAnsi="Verdana" w:cs="Times New Roman"/>
          <w:sz w:val="18"/>
          <w:lang w:eastAsia="tr-TR"/>
        </w:rPr>
        <w:t>ortognatik</w:t>
      </w:r>
      <w:proofErr w:type="spellEnd"/>
      <w:r w:rsidRPr="002A1ABF">
        <w:rPr>
          <w:rFonts w:ascii="Verdana" w:eastAsia="Times New Roman" w:hAnsi="Verdana" w:cs="Times New Roman"/>
          <w:sz w:val="18"/>
          <w:szCs w:val="18"/>
          <w:lang w:eastAsia="tr-TR"/>
        </w:rPr>
        <w:t> cerrahide uygulanan </w:t>
      </w:r>
      <w:proofErr w:type="spellStart"/>
      <w:r w:rsidRPr="002A1ABF">
        <w:rPr>
          <w:rFonts w:ascii="Verdana" w:eastAsia="Times New Roman" w:hAnsi="Verdana" w:cs="Times New Roman"/>
          <w:sz w:val="18"/>
          <w:lang w:eastAsia="tr-TR"/>
        </w:rPr>
        <w:t>ortodontik</w:t>
      </w:r>
      <w:proofErr w:type="spellEnd"/>
      <w:r w:rsidRPr="002A1ABF">
        <w:rPr>
          <w:rFonts w:ascii="Verdana" w:eastAsia="Times New Roman" w:hAnsi="Verdana" w:cs="Times New Roman"/>
          <w:sz w:val="18"/>
          <w:szCs w:val="18"/>
          <w:lang w:eastAsia="tr-TR"/>
        </w:rPr>
        <w:t> tedaviler; SUT eki EK-2/Ç Listesindeki “</w:t>
      </w:r>
      <w:proofErr w:type="gramStart"/>
      <w:r w:rsidRPr="002A1ABF">
        <w:rPr>
          <w:rFonts w:ascii="Verdana" w:eastAsia="Times New Roman" w:hAnsi="Verdana" w:cs="Times New Roman"/>
          <w:sz w:val="18"/>
          <w:lang w:eastAsia="tr-TR"/>
        </w:rPr>
        <w:t>7.1</w:t>
      </w:r>
      <w:proofErr w:type="gramEnd"/>
      <w:r w:rsidRPr="002A1ABF">
        <w:rPr>
          <w:rFonts w:ascii="Verdana" w:eastAsia="Times New Roman" w:hAnsi="Verdana" w:cs="Times New Roman"/>
          <w:sz w:val="18"/>
          <w:szCs w:val="18"/>
          <w:lang w:eastAsia="tr-TR"/>
        </w:rPr>
        <w:t> Tanıya dayalı </w:t>
      </w:r>
      <w:proofErr w:type="spellStart"/>
      <w:r w:rsidRPr="002A1ABF">
        <w:rPr>
          <w:rFonts w:ascii="Verdana" w:eastAsia="Times New Roman" w:hAnsi="Verdana" w:cs="Times New Roman"/>
          <w:sz w:val="18"/>
          <w:lang w:eastAsia="tr-TR"/>
        </w:rPr>
        <w:t>ortodontik</w:t>
      </w:r>
      <w:proofErr w:type="spellEnd"/>
      <w:r w:rsidRPr="002A1ABF">
        <w:rPr>
          <w:rFonts w:ascii="Verdana" w:eastAsia="Times New Roman" w:hAnsi="Verdana" w:cs="Times New Roman"/>
          <w:sz w:val="18"/>
          <w:szCs w:val="18"/>
          <w:lang w:eastAsia="tr-TR"/>
        </w:rPr>
        <w:t> tedavi işlemleri” bölümünde yer alan işlem kodları üzerinden Kurumca karşılanır. Kurumca </w:t>
      </w:r>
      <w:proofErr w:type="spellStart"/>
      <w:r w:rsidRPr="002A1ABF">
        <w:rPr>
          <w:rFonts w:ascii="Verdana" w:eastAsia="Times New Roman" w:hAnsi="Verdana" w:cs="Times New Roman"/>
          <w:sz w:val="18"/>
          <w:lang w:eastAsia="tr-TR"/>
        </w:rPr>
        <w:t>ortodontik</w:t>
      </w:r>
      <w:proofErr w:type="spellEnd"/>
      <w:r w:rsidRPr="002A1ABF">
        <w:rPr>
          <w:rFonts w:ascii="Verdana" w:eastAsia="Times New Roman" w:hAnsi="Verdana" w:cs="Times New Roman"/>
          <w:sz w:val="18"/>
          <w:szCs w:val="18"/>
          <w:lang w:eastAsia="tr-TR"/>
        </w:rPr>
        <w:t> tedavi bedellerinin ödemesi; “Başlangıç aşaması (hastanın </w:t>
      </w:r>
      <w:proofErr w:type="spellStart"/>
      <w:r w:rsidRPr="002A1ABF">
        <w:rPr>
          <w:rFonts w:ascii="Verdana" w:eastAsia="Times New Roman" w:hAnsi="Verdana" w:cs="Times New Roman"/>
          <w:sz w:val="18"/>
          <w:lang w:eastAsia="tr-TR"/>
        </w:rPr>
        <w:t>ortodontik</w:t>
      </w:r>
      <w:proofErr w:type="spellEnd"/>
      <w:r w:rsidRPr="002A1ABF">
        <w:rPr>
          <w:rFonts w:ascii="Verdana" w:eastAsia="Times New Roman" w:hAnsi="Verdana" w:cs="Times New Roman"/>
          <w:sz w:val="18"/>
          <w:szCs w:val="18"/>
          <w:lang w:eastAsia="tr-TR"/>
        </w:rPr>
        <w:t> tedavi planlamasının yapılarak, tedaviye ve tedavi mekaniklerinin uygulanmaya başlanması) “Tedavi aşaması (uygulanan mekanikler sonrasında planlanan sonuçların alınmaya başlandığı veya belirli bir aşamaya gelmesi)” ve “Pekiştirme aşaması (tedavinin tamamlanması) ” olmak üzere üç aşamada yapılır. Adı geçen aşamaların tamamlandığının gösterilmesi ve belgelenmesi halinde her bir aşama için işlem bedelinin 1/3’ü ödenir. “Başlangıç aşaması” ile “Tedavi aşaması” arasında en az 6 ay, “Tedavi aşaması” ile “Pekiştirme aşaması” arasında en az 4 ay süre bulunması gerekir.”</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b/>
          <w:bCs/>
          <w:sz w:val="18"/>
          <w:szCs w:val="18"/>
          <w:lang w:eastAsia="tr-TR"/>
        </w:rPr>
        <w:t>MADDE 6 – </w:t>
      </w:r>
      <w:r w:rsidRPr="002A1ABF">
        <w:rPr>
          <w:rFonts w:ascii="Verdana" w:eastAsia="Times New Roman" w:hAnsi="Verdana" w:cs="Times New Roman"/>
          <w:sz w:val="18"/>
          <w:szCs w:val="18"/>
          <w:lang w:eastAsia="tr-TR"/>
        </w:rPr>
        <w:t>Aynı Tebliğin 2.4.4.G-2 numaralı maddesinin birinci fıkrasının ilk cümlesi aşağıdaki şekilde düzenlenmiştir.</w:t>
      </w:r>
    </w:p>
    <w:p w:rsidR="002A1ABF" w:rsidRPr="002A1ABF" w:rsidRDefault="002A1ABF" w:rsidP="002A1ABF">
      <w:pPr>
        <w:spacing w:before="100" w:beforeAutospacing="1" w:after="100" w:afterAutospacing="1" w:line="240" w:lineRule="atLeast"/>
        <w:jc w:val="both"/>
        <w:rPr>
          <w:rFonts w:ascii="Times New Roman" w:eastAsia="Times New Roman" w:hAnsi="Times New Roman" w:cs="Times New Roman"/>
          <w:sz w:val="27"/>
          <w:szCs w:val="27"/>
          <w:lang w:eastAsia="tr-TR"/>
        </w:rPr>
      </w:pPr>
      <w:r w:rsidRPr="002A1ABF">
        <w:rPr>
          <w:rFonts w:ascii="Verdana" w:eastAsia="Times New Roman" w:hAnsi="Verdana" w:cs="Times New Roman"/>
          <w:sz w:val="18"/>
          <w:szCs w:val="18"/>
          <w:lang w:eastAsia="tr-TR"/>
        </w:rPr>
        <w:t>“SUT eki EK-2/B Listesinde “9.C Moleküler tetkikler” başlığı altında yer alan moleküler tetkik bedelleri; sadece sözleşmeli/protokollü üçüncü basamak sağlık hizmeti sunucuları ile bünyesinde Genetik Tanı Merkezi ruhsatı/geçici çalışma izin belgesine sahip </w:t>
      </w:r>
      <w:proofErr w:type="spellStart"/>
      <w:r w:rsidRPr="002A1ABF">
        <w:rPr>
          <w:rFonts w:ascii="Verdana" w:eastAsia="Times New Roman" w:hAnsi="Verdana" w:cs="Times New Roman"/>
          <w:sz w:val="18"/>
          <w:lang w:eastAsia="tr-TR"/>
        </w:rPr>
        <w:t>laboratuvarı</w:t>
      </w:r>
      <w:proofErr w:type="spellEnd"/>
      <w:r w:rsidRPr="002A1ABF">
        <w:rPr>
          <w:rFonts w:ascii="Verdana" w:eastAsia="Times New Roman" w:hAnsi="Verdana" w:cs="Times New Roman"/>
          <w:sz w:val="18"/>
          <w:szCs w:val="18"/>
          <w:lang w:eastAsia="tr-TR"/>
        </w:rPr>
        <w:t> bulunan ikinci basamak sağlık hizmeti sunucuları tarafından faturalandırılır.”</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b/>
          <w:bCs/>
          <w:sz w:val="18"/>
          <w:szCs w:val="18"/>
          <w:lang w:eastAsia="tr-TR"/>
        </w:rPr>
        <w:t>MADDE 7 –</w:t>
      </w:r>
      <w:r w:rsidRPr="002A1ABF">
        <w:rPr>
          <w:rFonts w:ascii="Verdana" w:eastAsia="Times New Roman" w:hAnsi="Verdana" w:cs="Times New Roman"/>
          <w:sz w:val="18"/>
          <w:szCs w:val="18"/>
          <w:lang w:eastAsia="tr-TR"/>
        </w:rPr>
        <w:t> Aynı Tebliğin 2.4.4.I numaralı maddesinin ikinci fıkrası aşağıdaki şekilde değiştirilmiş ve aşağıdaki üçüncü fıkra eklenmiştir.</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sz w:val="18"/>
          <w:szCs w:val="18"/>
          <w:lang w:eastAsia="tr-TR"/>
        </w:rPr>
        <w:t>“(2) SUT eki EK-2/C Listesindeki “P617340” kodlu işlem, üçüncü basamak sağlık hizmeti sunucularınca işlem puanına %25 ilave edilerek faturalandırılır.</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sz w:val="18"/>
          <w:szCs w:val="18"/>
          <w:lang w:eastAsia="tr-TR"/>
        </w:rPr>
        <w:t>(3) SUT eki EK-2/B Listesindeki “617340”, “617341”, “617342” kodlu, EK-2/C Listesindeki “P617340”, “P617341”, “P617342” kodlu işlemlerin yapılması halinde, işlem tarihinden itibaren 6 (altı) ay içinde aynı sağlık hizmeti sunucusunda “P617410” kodlu Lazer </w:t>
      </w:r>
      <w:proofErr w:type="spellStart"/>
      <w:r w:rsidRPr="002A1ABF">
        <w:rPr>
          <w:rFonts w:ascii="Verdana" w:eastAsia="Times New Roman" w:hAnsi="Verdana" w:cs="Times New Roman"/>
          <w:sz w:val="18"/>
          <w:lang w:eastAsia="tr-TR"/>
        </w:rPr>
        <w:t>kapsülotomi</w:t>
      </w:r>
      <w:proofErr w:type="spellEnd"/>
      <w:r w:rsidRPr="002A1ABF">
        <w:rPr>
          <w:rFonts w:ascii="Verdana" w:eastAsia="Times New Roman" w:hAnsi="Verdana" w:cs="Times New Roman"/>
          <w:sz w:val="18"/>
          <w:szCs w:val="18"/>
          <w:lang w:eastAsia="tr-TR"/>
        </w:rPr>
        <w:t>-</w:t>
      </w:r>
      <w:proofErr w:type="spellStart"/>
      <w:r w:rsidRPr="002A1ABF">
        <w:rPr>
          <w:rFonts w:ascii="Verdana" w:eastAsia="Times New Roman" w:hAnsi="Verdana" w:cs="Times New Roman"/>
          <w:sz w:val="18"/>
          <w:lang w:eastAsia="tr-TR"/>
        </w:rPr>
        <w:t>sineşiotomi</w:t>
      </w:r>
      <w:proofErr w:type="spellEnd"/>
      <w:r w:rsidRPr="002A1ABF">
        <w:rPr>
          <w:rFonts w:ascii="Verdana" w:eastAsia="Times New Roman" w:hAnsi="Verdana" w:cs="Times New Roman"/>
          <w:sz w:val="18"/>
          <w:szCs w:val="18"/>
          <w:lang w:eastAsia="tr-TR"/>
        </w:rPr>
        <w:t> işleminin de yapılması durumunda; “P617410” kodlu işlemin bedeli Kurumca karşılanmaz. </w:t>
      </w:r>
      <w:proofErr w:type="gramStart"/>
      <w:r w:rsidRPr="002A1ABF">
        <w:rPr>
          <w:rFonts w:ascii="Verdana" w:eastAsia="Times New Roman" w:hAnsi="Verdana" w:cs="Times New Roman"/>
          <w:sz w:val="18"/>
          <w:lang w:eastAsia="tr-TR"/>
        </w:rPr>
        <w:t>SUT eki EK-2/B Listesindeki “617340”, “617341”, “617342” kodlu, EK-2/C Listesindeki “P617340”, “P617341”, “P617342” işlemlerin yapılması halinde işlem tarihinden itibaren 6 (altı) ay içinde başka bir sağlık hizmeti sunucusunda P617410 Lazer </w:t>
      </w:r>
      <w:proofErr w:type="spellStart"/>
      <w:r w:rsidRPr="002A1ABF">
        <w:rPr>
          <w:rFonts w:ascii="Verdana" w:eastAsia="Times New Roman" w:hAnsi="Verdana" w:cs="Times New Roman"/>
          <w:sz w:val="18"/>
          <w:lang w:eastAsia="tr-TR"/>
        </w:rPr>
        <w:t>kapsülotomi</w:t>
      </w:r>
      <w:proofErr w:type="spellEnd"/>
      <w:r w:rsidRPr="002A1ABF">
        <w:rPr>
          <w:rFonts w:ascii="Verdana" w:eastAsia="Times New Roman" w:hAnsi="Verdana" w:cs="Times New Roman"/>
          <w:sz w:val="18"/>
          <w:lang w:eastAsia="tr-TR"/>
        </w:rPr>
        <w:t>-</w:t>
      </w:r>
      <w:proofErr w:type="spellStart"/>
      <w:r w:rsidRPr="002A1ABF">
        <w:rPr>
          <w:rFonts w:ascii="Verdana" w:eastAsia="Times New Roman" w:hAnsi="Verdana" w:cs="Times New Roman"/>
          <w:sz w:val="18"/>
          <w:lang w:eastAsia="tr-TR"/>
        </w:rPr>
        <w:t>sineşiotomi</w:t>
      </w:r>
      <w:proofErr w:type="spellEnd"/>
      <w:r w:rsidRPr="002A1ABF">
        <w:rPr>
          <w:rFonts w:ascii="Verdana" w:eastAsia="Times New Roman" w:hAnsi="Verdana" w:cs="Times New Roman"/>
          <w:sz w:val="18"/>
          <w:lang w:eastAsia="tr-TR"/>
        </w:rPr>
        <w:t> işlemi yapılması durumunda ise “P617410” kodlu işlem bedeli Kurumca karşılanır ve SUT eki EK-2/B Listesindeki “617340”, “617341”, “617342” kodlu, EK-2/C Listesindeki “P617340”, “P617341”, “P617342” kodlu işlemleri yapan sağlık hizmeti sunucusundan “P617410” kodlu işlem bedeli mahsup edilir.”</w:t>
      </w:r>
      <w:proofErr w:type="gramEnd"/>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b/>
          <w:bCs/>
          <w:sz w:val="18"/>
          <w:szCs w:val="18"/>
          <w:lang w:eastAsia="tr-TR"/>
        </w:rPr>
        <w:t>MADDE 8 – </w:t>
      </w:r>
      <w:r w:rsidRPr="002A1ABF">
        <w:rPr>
          <w:rFonts w:ascii="Verdana" w:eastAsia="Times New Roman" w:hAnsi="Verdana" w:cs="Times New Roman"/>
          <w:sz w:val="18"/>
          <w:szCs w:val="18"/>
          <w:lang w:eastAsia="tr-TR"/>
        </w:rPr>
        <w:t>Aynı Tebliğin “Yatarak tedavilerde kullanılan tıbbi malzemeler” başlıklı 3.1.3. numaralı maddesinin birinci fıkrasına aşağıdaki bentler eklenmiştir.</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sz w:val="18"/>
          <w:szCs w:val="18"/>
          <w:lang w:eastAsia="tr-TR"/>
        </w:rPr>
        <w:t>“j) Hematoloji Onkoloji Branşına Ait Tıbbi Malzemeler (EK-3/O),</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sz w:val="18"/>
          <w:szCs w:val="18"/>
          <w:lang w:eastAsia="tr-TR"/>
        </w:rPr>
        <w:t>k) </w:t>
      </w:r>
      <w:proofErr w:type="spellStart"/>
      <w:r w:rsidRPr="002A1ABF">
        <w:rPr>
          <w:rFonts w:ascii="Verdana" w:eastAsia="Times New Roman" w:hAnsi="Verdana" w:cs="Times New Roman"/>
          <w:sz w:val="18"/>
          <w:lang w:eastAsia="tr-TR"/>
        </w:rPr>
        <w:t>Nefroloji</w:t>
      </w:r>
      <w:proofErr w:type="spellEnd"/>
      <w:r w:rsidRPr="002A1ABF">
        <w:rPr>
          <w:rFonts w:ascii="Verdana" w:eastAsia="Times New Roman" w:hAnsi="Verdana" w:cs="Times New Roman"/>
          <w:sz w:val="18"/>
          <w:szCs w:val="18"/>
          <w:lang w:eastAsia="tr-TR"/>
        </w:rPr>
        <w:t> Branşına Ait Tıbbi Malzemeler (EK-3/P),”</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b/>
          <w:bCs/>
          <w:sz w:val="18"/>
          <w:szCs w:val="18"/>
          <w:lang w:eastAsia="tr-TR"/>
        </w:rPr>
        <w:t>MADDE 9 –</w:t>
      </w:r>
      <w:r w:rsidRPr="002A1ABF">
        <w:rPr>
          <w:rFonts w:ascii="Verdana" w:eastAsia="Times New Roman" w:hAnsi="Verdana" w:cs="Times New Roman"/>
          <w:sz w:val="18"/>
          <w:szCs w:val="18"/>
          <w:lang w:eastAsia="tr-TR"/>
        </w:rPr>
        <w:t> Aynı Tebliğin, “Yatarak tedavilerde kullanılan tıbbi malzemeler” başlıklı 3.1.3. numaralı maddesinin ikinci fıkrasına aşağıdaki bentler eklenmiştir.</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sz w:val="18"/>
          <w:szCs w:val="18"/>
          <w:lang w:eastAsia="tr-TR"/>
        </w:rPr>
        <w:t>“i) Hematoloji Onkoloji Branşına Ait Tıbbi Malzemeler (EK-3/O),</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sz w:val="18"/>
          <w:szCs w:val="18"/>
          <w:lang w:eastAsia="tr-TR"/>
        </w:rPr>
        <w:t>j) </w:t>
      </w:r>
      <w:proofErr w:type="spellStart"/>
      <w:r w:rsidRPr="002A1ABF">
        <w:rPr>
          <w:rFonts w:ascii="Verdana" w:eastAsia="Times New Roman" w:hAnsi="Verdana" w:cs="Times New Roman"/>
          <w:sz w:val="18"/>
          <w:lang w:eastAsia="tr-TR"/>
        </w:rPr>
        <w:t>Nefroloji</w:t>
      </w:r>
      <w:proofErr w:type="spellEnd"/>
      <w:r w:rsidRPr="002A1ABF">
        <w:rPr>
          <w:rFonts w:ascii="Verdana" w:eastAsia="Times New Roman" w:hAnsi="Verdana" w:cs="Times New Roman"/>
          <w:sz w:val="18"/>
          <w:szCs w:val="18"/>
          <w:lang w:eastAsia="tr-TR"/>
        </w:rPr>
        <w:t> Branşına Ait Tıbbi Malzemeler (EK-3/P),”</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b/>
          <w:bCs/>
          <w:sz w:val="18"/>
          <w:szCs w:val="18"/>
          <w:lang w:eastAsia="tr-TR"/>
        </w:rPr>
        <w:lastRenderedPageBreak/>
        <w:t>MADDE 10 –</w:t>
      </w:r>
      <w:r w:rsidRPr="002A1ABF">
        <w:rPr>
          <w:rFonts w:ascii="Verdana" w:eastAsia="Times New Roman" w:hAnsi="Verdana" w:cs="Times New Roman"/>
          <w:sz w:val="18"/>
          <w:szCs w:val="18"/>
          <w:lang w:eastAsia="tr-TR"/>
        </w:rPr>
        <w:t> Aynı Tebliğin </w:t>
      </w:r>
      <w:proofErr w:type="gramStart"/>
      <w:r w:rsidRPr="002A1ABF">
        <w:rPr>
          <w:rFonts w:ascii="Verdana" w:eastAsia="Times New Roman" w:hAnsi="Verdana" w:cs="Times New Roman"/>
          <w:sz w:val="18"/>
          <w:lang w:eastAsia="tr-TR"/>
        </w:rPr>
        <w:t>4.3</w:t>
      </w:r>
      <w:proofErr w:type="gramEnd"/>
      <w:r w:rsidRPr="002A1ABF">
        <w:rPr>
          <w:rFonts w:ascii="Verdana" w:eastAsia="Times New Roman" w:hAnsi="Verdana" w:cs="Times New Roman"/>
          <w:sz w:val="18"/>
          <w:szCs w:val="18"/>
          <w:lang w:eastAsia="tr-TR"/>
        </w:rPr>
        <w:t> numaralı maddesinin birinci fıkrası aşağıdaki şekilde değiştirilmiştir.</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sz w:val="18"/>
          <w:szCs w:val="18"/>
          <w:lang w:eastAsia="tr-TR"/>
        </w:rPr>
        <w:t>“(1) Kurum sağlık yardımlarından yararlandırılan kişiler için gerekli görülen ve yurt içinden sağlanması mümkün olmayan ilaçların, yurt içinde bulunmadığı ve kullanılmasının zorunlu olduğu Sağlık Bakanlığı tarafından onaylanarak ilaç teminine izin verildiği takdirde yurt dışından temini mümkündür. Bu amaçla, Türk Eczacıları Birliği (TEB) ile Kurum arasında protokol yürürlüktedir. Mevzuat değişikliği yapılarak Sağlık Bakanlığınca yetkilendirilmiş diğer taraflarla da protokol yapılabilir.”</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b/>
          <w:bCs/>
          <w:sz w:val="18"/>
          <w:szCs w:val="18"/>
          <w:lang w:eastAsia="tr-TR"/>
        </w:rPr>
        <w:t>MADDE 11 – </w:t>
      </w:r>
      <w:r w:rsidRPr="002A1ABF">
        <w:rPr>
          <w:rFonts w:ascii="Verdana" w:eastAsia="Times New Roman" w:hAnsi="Verdana" w:cs="Times New Roman"/>
          <w:sz w:val="18"/>
          <w:szCs w:val="18"/>
          <w:lang w:eastAsia="tr-TR"/>
        </w:rPr>
        <w:t>Aynı Tebliğin 5.2.1 numaralı maddesinin ikinci fıkrasının ilk cümlesi aşağıdaki şekilde değiştirilmiş ve dördüncü fıkrası çıkarılmıştır.</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sz w:val="18"/>
          <w:szCs w:val="18"/>
          <w:lang w:eastAsia="tr-TR"/>
        </w:rPr>
        <w:t>“(2) Ancak, Kurumca örneklemeye dâhil edilmeksizin (Trafik kazası hariç) tamamı inceleneceğinden;”</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b/>
          <w:bCs/>
          <w:sz w:val="18"/>
          <w:szCs w:val="18"/>
          <w:lang w:eastAsia="tr-TR"/>
        </w:rPr>
        <w:t>MADDE 12 – </w:t>
      </w:r>
      <w:r w:rsidRPr="002A1ABF">
        <w:rPr>
          <w:rFonts w:ascii="Verdana" w:eastAsia="Times New Roman" w:hAnsi="Verdana" w:cs="Times New Roman"/>
          <w:sz w:val="18"/>
          <w:szCs w:val="18"/>
          <w:lang w:eastAsia="tr-TR"/>
        </w:rPr>
        <w:t>Aynı Tebliğin 6.3.1 numaralı maddesinin ikinci fıkrası aşağıdaki şekilde düzenlenmiştir.</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sz w:val="18"/>
          <w:szCs w:val="18"/>
          <w:lang w:eastAsia="tr-TR"/>
        </w:rPr>
        <w:t>“(2) </w:t>
      </w:r>
      <w:proofErr w:type="gramStart"/>
      <w:r w:rsidRPr="002A1ABF">
        <w:rPr>
          <w:rFonts w:ascii="Verdana" w:eastAsia="Times New Roman" w:hAnsi="Verdana" w:cs="Times New Roman"/>
          <w:sz w:val="18"/>
          <w:lang w:eastAsia="tr-TR"/>
        </w:rPr>
        <w:t>9/11/2012</w:t>
      </w:r>
      <w:proofErr w:type="gramEnd"/>
      <w:r w:rsidRPr="002A1ABF">
        <w:rPr>
          <w:rFonts w:ascii="Verdana" w:eastAsia="Times New Roman" w:hAnsi="Verdana" w:cs="Times New Roman"/>
          <w:sz w:val="18"/>
          <w:szCs w:val="18"/>
          <w:lang w:eastAsia="tr-TR"/>
        </w:rPr>
        <w:t> tarihinden önce alınan sevke istinaden uygulanan </w:t>
      </w:r>
      <w:proofErr w:type="spellStart"/>
      <w:r w:rsidRPr="002A1ABF">
        <w:rPr>
          <w:rFonts w:ascii="Verdana" w:eastAsia="Times New Roman" w:hAnsi="Verdana" w:cs="Times New Roman"/>
          <w:sz w:val="18"/>
          <w:lang w:eastAsia="tr-TR"/>
        </w:rPr>
        <w:t>ortodontik</w:t>
      </w:r>
      <w:proofErr w:type="spellEnd"/>
      <w:r w:rsidRPr="002A1ABF">
        <w:rPr>
          <w:rFonts w:ascii="Verdana" w:eastAsia="Times New Roman" w:hAnsi="Verdana" w:cs="Times New Roman"/>
          <w:sz w:val="18"/>
          <w:szCs w:val="18"/>
          <w:lang w:eastAsia="tr-TR"/>
        </w:rPr>
        <w:t> ve diğer tedaviler 2010/41 </w:t>
      </w:r>
      <w:proofErr w:type="spellStart"/>
      <w:r w:rsidRPr="002A1ABF">
        <w:rPr>
          <w:rFonts w:ascii="Verdana" w:eastAsia="Times New Roman" w:hAnsi="Verdana" w:cs="Times New Roman"/>
          <w:sz w:val="18"/>
          <w:lang w:eastAsia="tr-TR"/>
        </w:rPr>
        <w:t>nolu</w:t>
      </w:r>
      <w:r w:rsidRPr="002A1ABF">
        <w:rPr>
          <w:rFonts w:ascii="Verdana" w:eastAsia="Times New Roman" w:hAnsi="Verdana" w:cs="Times New Roman"/>
          <w:sz w:val="18"/>
          <w:szCs w:val="18"/>
          <w:lang w:eastAsia="tr-TR"/>
        </w:rPr>
        <w:t>Genelgeye</w:t>
      </w:r>
      <w:proofErr w:type="spellEnd"/>
      <w:r w:rsidRPr="002A1ABF">
        <w:rPr>
          <w:rFonts w:ascii="Verdana" w:eastAsia="Times New Roman" w:hAnsi="Verdana" w:cs="Times New Roman"/>
          <w:sz w:val="18"/>
          <w:szCs w:val="18"/>
          <w:lang w:eastAsia="tr-TR"/>
        </w:rPr>
        <w:t xml:space="preserve"> göre sonuçlandırılır.”</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b/>
          <w:bCs/>
          <w:sz w:val="18"/>
          <w:szCs w:val="18"/>
          <w:lang w:eastAsia="tr-TR"/>
        </w:rPr>
        <w:t>MADDE 13 – </w:t>
      </w:r>
      <w:r w:rsidRPr="002A1ABF">
        <w:rPr>
          <w:rFonts w:ascii="Verdana" w:eastAsia="Times New Roman" w:hAnsi="Verdana" w:cs="Times New Roman"/>
          <w:sz w:val="18"/>
          <w:szCs w:val="18"/>
          <w:lang w:eastAsia="tr-TR"/>
        </w:rPr>
        <w:t>Aynı Tebliğ eki “İstisnai sağlık hizmetleri </w:t>
      </w:r>
      <w:proofErr w:type="spellStart"/>
      <w:r w:rsidRPr="002A1ABF">
        <w:rPr>
          <w:rFonts w:ascii="Verdana" w:eastAsia="Times New Roman" w:hAnsi="Verdana" w:cs="Times New Roman"/>
          <w:sz w:val="18"/>
          <w:lang w:eastAsia="tr-TR"/>
        </w:rPr>
        <w:t>listesi”ne</w:t>
      </w:r>
      <w:proofErr w:type="spellEnd"/>
      <w:r w:rsidRPr="002A1ABF">
        <w:rPr>
          <w:rFonts w:ascii="Verdana" w:eastAsia="Times New Roman" w:hAnsi="Verdana" w:cs="Times New Roman"/>
          <w:sz w:val="18"/>
          <w:szCs w:val="18"/>
          <w:lang w:eastAsia="tr-TR"/>
        </w:rPr>
        <w:t> (EK-1/C) “P617342 kodlu </w:t>
      </w:r>
      <w:proofErr w:type="spellStart"/>
      <w:r w:rsidRPr="002A1ABF">
        <w:rPr>
          <w:rFonts w:ascii="Verdana" w:eastAsia="Times New Roman" w:hAnsi="Verdana" w:cs="Times New Roman"/>
          <w:sz w:val="18"/>
          <w:lang w:eastAsia="tr-TR"/>
        </w:rPr>
        <w:t>Femtosaniye</w:t>
      </w:r>
      <w:proofErr w:type="spellEnd"/>
      <w:r w:rsidRPr="002A1ABF">
        <w:rPr>
          <w:rFonts w:ascii="Verdana" w:eastAsia="Times New Roman" w:hAnsi="Verdana" w:cs="Times New Roman"/>
          <w:sz w:val="18"/>
          <w:szCs w:val="18"/>
          <w:lang w:eastAsia="tr-TR"/>
        </w:rPr>
        <w:t> lazer ile katarakt cerrahisi” işlemi eklenmiştir.</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b/>
          <w:bCs/>
          <w:sz w:val="18"/>
          <w:szCs w:val="18"/>
          <w:lang w:eastAsia="tr-TR"/>
        </w:rPr>
        <w:t>MADDE 14 – </w:t>
      </w:r>
      <w:r w:rsidRPr="002A1ABF">
        <w:rPr>
          <w:rFonts w:ascii="Verdana" w:eastAsia="Times New Roman" w:hAnsi="Verdana" w:cs="Times New Roman"/>
          <w:sz w:val="18"/>
          <w:szCs w:val="18"/>
          <w:lang w:eastAsia="tr-TR"/>
        </w:rPr>
        <w:t>Aynı Tebliğ eki “Hizmet Başı İşlem Puan Listesi”nden (EK-2/B) 607.680 ve 605.950 kodlu işlemler yürürlükten </w:t>
      </w:r>
      <w:proofErr w:type="spellStart"/>
      <w:r w:rsidRPr="002A1ABF">
        <w:rPr>
          <w:rFonts w:ascii="Verdana" w:eastAsia="Times New Roman" w:hAnsi="Verdana" w:cs="Times New Roman"/>
          <w:sz w:val="18"/>
          <w:lang w:eastAsia="tr-TR"/>
        </w:rPr>
        <w:t>kaldırılımıştır</w:t>
      </w:r>
      <w:proofErr w:type="spellEnd"/>
      <w:r w:rsidRPr="002A1ABF">
        <w:rPr>
          <w:rFonts w:ascii="Verdana" w:eastAsia="Times New Roman" w:hAnsi="Verdana" w:cs="Times New Roman"/>
          <w:sz w:val="18"/>
          <w:szCs w:val="18"/>
          <w:lang w:eastAsia="tr-TR"/>
        </w:rPr>
        <w:t>.</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b/>
          <w:bCs/>
          <w:sz w:val="18"/>
          <w:szCs w:val="18"/>
          <w:lang w:eastAsia="tr-TR"/>
        </w:rPr>
        <w:t>MADDE 15 – </w:t>
      </w:r>
      <w:r w:rsidRPr="002A1ABF">
        <w:rPr>
          <w:rFonts w:ascii="Verdana" w:eastAsia="Times New Roman" w:hAnsi="Verdana" w:cs="Times New Roman"/>
          <w:sz w:val="18"/>
          <w:szCs w:val="18"/>
          <w:lang w:eastAsia="tr-TR"/>
        </w:rPr>
        <w:t>Aynı Tebliğ eki “Hizmet Başı İşlem Puan Listesi”nde (EK-2/B) yapılan değişiklikler ekteki (1) numaralı listede belirtilmiştir.</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b/>
          <w:bCs/>
          <w:sz w:val="18"/>
          <w:szCs w:val="18"/>
          <w:lang w:eastAsia="tr-TR"/>
        </w:rPr>
        <w:t>MADDE 16 –</w:t>
      </w:r>
      <w:r w:rsidRPr="002A1ABF">
        <w:rPr>
          <w:rFonts w:ascii="Verdana" w:eastAsia="Times New Roman" w:hAnsi="Verdana" w:cs="Times New Roman"/>
          <w:sz w:val="18"/>
          <w:szCs w:val="18"/>
          <w:lang w:eastAsia="tr-TR"/>
        </w:rPr>
        <w:t> Aynı Tebliğ eki “Tanıya Dayalı İşlem Puan Listesi”nden (EK-2/C) P607680 ve P605950 kodlu işlemler yürürlükten </w:t>
      </w:r>
      <w:proofErr w:type="spellStart"/>
      <w:r w:rsidRPr="002A1ABF">
        <w:rPr>
          <w:rFonts w:ascii="Verdana" w:eastAsia="Times New Roman" w:hAnsi="Verdana" w:cs="Times New Roman"/>
          <w:sz w:val="18"/>
          <w:lang w:eastAsia="tr-TR"/>
        </w:rPr>
        <w:t>kaldırılımıştır</w:t>
      </w:r>
      <w:proofErr w:type="spellEnd"/>
      <w:r w:rsidRPr="002A1ABF">
        <w:rPr>
          <w:rFonts w:ascii="Verdana" w:eastAsia="Times New Roman" w:hAnsi="Verdana" w:cs="Times New Roman"/>
          <w:sz w:val="18"/>
          <w:szCs w:val="18"/>
          <w:lang w:eastAsia="tr-TR"/>
        </w:rPr>
        <w:t>.</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b/>
          <w:bCs/>
          <w:sz w:val="18"/>
          <w:szCs w:val="18"/>
          <w:lang w:eastAsia="tr-TR"/>
        </w:rPr>
        <w:t>MADDE 17 – </w:t>
      </w:r>
      <w:r w:rsidRPr="002A1ABF">
        <w:rPr>
          <w:rFonts w:ascii="Verdana" w:eastAsia="Times New Roman" w:hAnsi="Verdana" w:cs="Times New Roman"/>
          <w:sz w:val="18"/>
          <w:szCs w:val="18"/>
          <w:lang w:eastAsia="tr-TR"/>
        </w:rPr>
        <w:t>Aynı Tebliğ eki “Tanıya Dayalı İşlem Puan Listesi”nde (EK-2/C) yapılan değişiklikler ekteki (2) numaralı listede belirtilmiştir.</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b/>
          <w:bCs/>
          <w:sz w:val="18"/>
          <w:szCs w:val="18"/>
          <w:lang w:eastAsia="tr-TR"/>
        </w:rPr>
        <w:t>MADDE 18 – </w:t>
      </w:r>
      <w:r w:rsidRPr="002A1ABF">
        <w:rPr>
          <w:rFonts w:ascii="Verdana" w:eastAsia="Times New Roman" w:hAnsi="Verdana" w:cs="Times New Roman"/>
          <w:sz w:val="18"/>
          <w:szCs w:val="18"/>
          <w:lang w:eastAsia="tr-TR"/>
        </w:rPr>
        <w:t>Aynı Tebliğ eki “Tanıya Dayalı </w:t>
      </w:r>
      <w:proofErr w:type="spellStart"/>
      <w:r w:rsidRPr="002A1ABF">
        <w:rPr>
          <w:rFonts w:ascii="Verdana" w:eastAsia="Times New Roman" w:hAnsi="Verdana" w:cs="Times New Roman"/>
          <w:sz w:val="18"/>
          <w:lang w:eastAsia="tr-TR"/>
        </w:rPr>
        <w:t>Ortodontik</w:t>
      </w:r>
      <w:proofErr w:type="spellEnd"/>
      <w:r w:rsidRPr="002A1ABF">
        <w:rPr>
          <w:rFonts w:ascii="Verdana" w:eastAsia="Times New Roman" w:hAnsi="Verdana" w:cs="Times New Roman"/>
          <w:sz w:val="18"/>
          <w:szCs w:val="18"/>
          <w:lang w:eastAsia="tr-TR"/>
        </w:rPr>
        <w:t> Tedavi Kontrol Formu”nun (EK-2/Ç-3) “Tanıya Dayalı </w:t>
      </w:r>
      <w:proofErr w:type="spellStart"/>
      <w:r w:rsidRPr="002A1ABF">
        <w:rPr>
          <w:rFonts w:ascii="Verdana" w:eastAsia="Times New Roman" w:hAnsi="Verdana" w:cs="Times New Roman"/>
          <w:sz w:val="18"/>
          <w:lang w:eastAsia="tr-TR"/>
        </w:rPr>
        <w:t>Ortodontik</w:t>
      </w:r>
      <w:proofErr w:type="spellEnd"/>
      <w:r w:rsidRPr="002A1ABF">
        <w:rPr>
          <w:rFonts w:ascii="Verdana" w:eastAsia="Times New Roman" w:hAnsi="Verdana" w:cs="Times New Roman"/>
          <w:sz w:val="18"/>
          <w:szCs w:val="18"/>
          <w:lang w:eastAsia="tr-TR"/>
        </w:rPr>
        <w:t> Tedavi” başlıklı bölümünde yer alan Başlangıç aşaması aşağıdaki şekilde değiştirilmiştir.</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sz w:val="18"/>
          <w:szCs w:val="18"/>
          <w:lang w:eastAsia="tr-TR"/>
        </w:rPr>
        <w:t>“Başlangıç aşaması: Hastanın </w:t>
      </w:r>
      <w:proofErr w:type="spellStart"/>
      <w:r w:rsidRPr="002A1ABF">
        <w:rPr>
          <w:rFonts w:ascii="Verdana" w:eastAsia="Times New Roman" w:hAnsi="Verdana" w:cs="Times New Roman"/>
          <w:sz w:val="18"/>
          <w:lang w:eastAsia="tr-TR"/>
        </w:rPr>
        <w:t>ortodontik</w:t>
      </w:r>
      <w:proofErr w:type="spellEnd"/>
      <w:r w:rsidRPr="002A1ABF">
        <w:rPr>
          <w:rFonts w:ascii="Verdana" w:eastAsia="Times New Roman" w:hAnsi="Verdana" w:cs="Times New Roman"/>
          <w:sz w:val="18"/>
          <w:szCs w:val="18"/>
          <w:lang w:eastAsia="tr-TR"/>
        </w:rPr>
        <w:t> tedavi planlamasının yapılarak, tedaviye ve tedavi mekaniklerinin uygulanmaya başlandığının gösterilmesi ve belgelenmesidir.”</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b/>
          <w:bCs/>
          <w:sz w:val="18"/>
          <w:szCs w:val="18"/>
          <w:lang w:eastAsia="tr-TR"/>
        </w:rPr>
        <w:t>MADDE 19 – </w:t>
      </w:r>
      <w:r w:rsidRPr="002A1ABF">
        <w:rPr>
          <w:rFonts w:ascii="Verdana" w:eastAsia="Times New Roman" w:hAnsi="Verdana" w:cs="Times New Roman"/>
          <w:sz w:val="18"/>
          <w:szCs w:val="18"/>
          <w:lang w:eastAsia="tr-TR"/>
        </w:rPr>
        <w:t>Aynı Tebliğin “BİRDEN FAZLA BRANŞTA KULLANILAN TIBBİ MALZEMELER (EK-3/A)” listesinde aşağıdaki değişiklikler yapılmıştır.</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sz w:val="18"/>
          <w:szCs w:val="18"/>
          <w:lang w:eastAsia="tr-TR"/>
        </w:rPr>
        <w:t>a) “BİOPSİ İĞNESİ, HER TÜRLÜ” başlığından sonra gelmek üzere aşağıdaki satırlar eklenmiştir.</w:t>
      </w:r>
    </w:p>
    <w:p w:rsidR="002A1ABF" w:rsidRPr="002A1ABF" w:rsidRDefault="002A1ABF" w:rsidP="002A1ABF">
      <w:pPr>
        <w:spacing w:before="100" w:beforeAutospacing="1" w:after="100" w:afterAutospacing="1" w:line="240" w:lineRule="atLeast"/>
        <w:ind w:firstLine="566"/>
        <w:rPr>
          <w:rFonts w:ascii="Times New Roman" w:eastAsia="Times New Roman" w:hAnsi="Times New Roman" w:cs="Times New Roman"/>
          <w:sz w:val="27"/>
          <w:szCs w:val="27"/>
          <w:lang w:eastAsia="tr-TR"/>
        </w:rPr>
      </w:pPr>
      <w:r w:rsidRPr="002A1ABF">
        <w:rPr>
          <w:rFonts w:ascii="Times New Roman" w:eastAsia="Times New Roman" w:hAnsi="Times New Roman" w:cs="Times New Roman"/>
          <w:sz w:val="18"/>
          <w:szCs w:val="18"/>
          <w:lang w:eastAsia="tr-TR"/>
        </w:rPr>
        <w:t> </w:t>
      </w:r>
    </w:p>
    <w:tbl>
      <w:tblPr>
        <w:tblW w:w="8475" w:type="dxa"/>
        <w:jc w:val="center"/>
        <w:tblInd w:w="305" w:type="dxa"/>
        <w:tblCellMar>
          <w:left w:w="0" w:type="dxa"/>
          <w:right w:w="0" w:type="dxa"/>
        </w:tblCellMar>
        <w:tblLook w:val="04A0"/>
      </w:tblPr>
      <w:tblGrid>
        <w:gridCol w:w="960"/>
        <w:gridCol w:w="6795"/>
        <w:gridCol w:w="720"/>
      </w:tblGrid>
      <w:tr w:rsidR="002A1ABF" w:rsidRPr="002A1ABF" w:rsidTr="002A1ABF">
        <w:trPr>
          <w:trHeight w:val="300"/>
          <w:jc w:val="center"/>
        </w:trPr>
        <w:tc>
          <w:tcPr>
            <w:tcW w:w="9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2A1ABF" w:rsidRPr="002A1ABF" w:rsidRDefault="002A1ABF" w:rsidP="002A1ABF">
            <w:pPr>
              <w:spacing w:after="0" w:line="240" w:lineRule="auto"/>
              <w:jc w:val="center"/>
              <w:rPr>
                <w:rFonts w:ascii="Times New Roman" w:eastAsia="Times New Roman" w:hAnsi="Times New Roman" w:cs="Times New Roman"/>
                <w:sz w:val="24"/>
                <w:szCs w:val="24"/>
                <w:lang w:eastAsia="tr-TR"/>
              </w:rPr>
            </w:pPr>
            <w:r w:rsidRPr="002A1ABF">
              <w:rPr>
                <w:rFonts w:ascii="Times New Roman" w:eastAsia="Times New Roman" w:hAnsi="Times New Roman" w:cs="Times New Roman"/>
                <w:sz w:val="18"/>
                <w:szCs w:val="18"/>
                <w:lang w:eastAsia="tr-TR"/>
              </w:rPr>
              <w:t>301.410</w:t>
            </w:r>
          </w:p>
        </w:tc>
        <w:tc>
          <w:tcPr>
            <w:tcW w:w="679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A1ABF" w:rsidRPr="002A1ABF" w:rsidRDefault="002A1ABF" w:rsidP="002A1ABF">
            <w:pPr>
              <w:spacing w:after="0" w:line="240" w:lineRule="auto"/>
              <w:rPr>
                <w:rFonts w:ascii="Times New Roman" w:eastAsia="Times New Roman" w:hAnsi="Times New Roman" w:cs="Times New Roman"/>
                <w:sz w:val="24"/>
                <w:szCs w:val="24"/>
                <w:lang w:eastAsia="tr-TR"/>
              </w:rPr>
            </w:pPr>
            <w:r w:rsidRPr="002A1ABF">
              <w:rPr>
                <w:rFonts w:ascii="Times New Roman" w:eastAsia="Times New Roman" w:hAnsi="Times New Roman" w:cs="Times New Roman"/>
                <w:sz w:val="18"/>
                <w:szCs w:val="18"/>
                <w:lang w:eastAsia="tr-TR"/>
              </w:rPr>
              <w:t>İĞNE, KEMİK İLİĞİ ASPİRASYON VE BİYOPSİ</w:t>
            </w:r>
          </w:p>
        </w:tc>
        <w:tc>
          <w:tcPr>
            <w:tcW w:w="72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A1ABF" w:rsidRPr="002A1ABF" w:rsidRDefault="002A1ABF" w:rsidP="002A1ABF">
            <w:pPr>
              <w:spacing w:after="0" w:line="240" w:lineRule="auto"/>
              <w:ind w:left="-70"/>
              <w:jc w:val="right"/>
              <w:rPr>
                <w:rFonts w:ascii="Times New Roman" w:eastAsia="Times New Roman" w:hAnsi="Times New Roman" w:cs="Times New Roman"/>
                <w:sz w:val="24"/>
                <w:szCs w:val="24"/>
                <w:lang w:eastAsia="tr-TR"/>
              </w:rPr>
            </w:pPr>
            <w:r w:rsidRPr="002A1ABF">
              <w:rPr>
                <w:rFonts w:ascii="Times New Roman" w:eastAsia="Times New Roman" w:hAnsi="Times New Roman" w:cs="Times New Roman"/>
                <w:sz w:val="18"/>
                <w:szCs w:val="18"/>
                <w:lang w:eastAsia="tr-TR"/>
              </w:rPr>
              <w:t>17,95</w:t>
            </w:r>
          </w:p>
        </w:tc>
      </w:tr>
      <w:tr w:rsidR="002A1ABF" w:rsidRPr="002A1ABF" w:rsidTr="002A1ABF">
        <w:trPr>
          <w:trHeight w:val="300"/>
          <w:jc w:val="center"/>
        </w:trPr>
        <w:tc>
          <w:tcPr>
            <w:tcW w:w="9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A1ABF" w:rsidRPr="002A1ABF" w:rsidRDefault="002A1ABF" w:rsidP="002A1ABF">
            <w:pPr>
              <w:spacing w:after="0" w:line="240" w:lineRule="auto"/>
              <w:jc w:val="center"/>
              <w:rPr>
                <w:rFonts w:ascii="Times New Roman" w:eastAsia="Times New Roman" w:hAnsi="Times New Roman" w:cs="Times New Roman"/>
                <w:sz w:val="24"/>
                <w:szCs w:val="24"/>
                <w:lang w:eastAsia="tr-TR"/>
              </w:rPr>
            </w:pPr>
            <w:r w:rsidRPr="002A1ABF">
              <w:rPr>
                <w:rFonts w:ascii="Times New Roman" w:eastAsia="Times New Roman" w:hAnsi="Times New Roman" w:cs="Times New Roman"/>
                <w:sz w:val="18"/>
                <w:szCs w:val="18"/>
                <w:lang w:eastAsia="tr-TR"/>
              </w:rPr>
              <w:t>301.480</w:t>
            </w:r>
          </w:p>
        </w:tc>
        <w:tc>
          <w:tcPr>
            <w:tcW w:w="67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1ABF" w:rsidRPr="002A1ABF" w:rsidRDefault="002A1ABF" w:rsidP="002A1ABF">
            <w:pPr>
              <w:spacing w:after="0" w:line="240" w:lineRule="auto"/>
              <w:rPr>
                <w:rFonts w:ascii="Times New Roman" w:eastAsia="Times New Roman" w:hAnsi="Times New Roman" w:cs="Times New Roman"/>
                <w:sz w:val="24"/>
                <w:szCs w:val="24"/>
                <w:lang w:eastAsia="tr-TR"/>
              </w:rPr>
            </w:pPr>
            <w:r w:rsidRPr="002A1ABF">
              <w:rPr>
                <w:rFonts w:ascii="Times New Roman" w:eastAsia="Times New Roman" w:hAnsi="Times New Roman" w:cs="Times New Roman"/>
                <w:sz w:val="18"/>
                <w:szCs w:val="18"/>
                <w:lang w:eastAsia="tr-TR"/>
              </w:rPr>
              <w:t>SET, KEMİK İLİĞİ TOPLAMA</w:t>
            </w:r>
          </w:p>
        </w:tc>
        <w:tc>
          <w:tcPr>
            <w:tcW w:w="7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1ABF" w:rsidRPr="002A1ABF" w:rsidRDefault="002A1ABF" w:rsidP="002A1ABF">
            <w:pPr>
              <w:spacing w:after="0" w:line="240" w:lineRule="auto"/>
              <w:jc w:val="right"/>
              <w:rPr>
                <w:rFonts w:ascii="Times New Roman" w:eastAsia="Times New Roman" w:hAnsi="Times New Roman" w:cs="Times New Roman"/>
                <w:sz w:val="24"/>
                <w:szCs w:val="24"/>
                <w:lang w:eastAsia="tr-TR"/>
              </w:rPr>
            </w:pPr>
            <w:r w:rsidRPr="002A1ABF">
              <w:rPr>
                <w:rFonts w:ascii="Times New Roman" w:eastAsia="Times New Roman" w:hAnsi="Times New Roman" w:cs="Times New Roman"/>
                <w:sz w:val="18"/>
                <w:szCs w:val="18"/>
                <w:lang w:eastAsia="tr-TR"/>
              </w:rPr>
              <w:t>138,00</w:t>
            </w:r>
          </w:p>
        </w:tc>
      </w:tr>
    </w:tbl>
    <w:p w:rsidR="002A1ABF" w:rsidRPr="002A1ABF" w:rsidRDefault="002A1ABF" w:rsidP="002A1ABF">
      <w:pPr>
        <w:spacing w:before="100" w:beforeAutospacing="1" w:after="100" w:afterAutospacing="1" w:line="240" w:lineRule="atLeast"/>
        <w:jc w:val="center"/>
        <w:rPr>
          <w:rFonts w:ascii="Times New Roman" w:eastAsia="Times New Roman" w:hAnsi="Times New Roman" w:cs="Times New Roman"/>
          <w:sz w:val="27"/>
          <w:szCs w:val="27"/>
          <w:lang w:eastAsia="tr-TR"/>
        </w:rPr>
      </w:pPr>
      <w:r w:rsidRPr="002A1ABF">
        <w:rPr>
          <w:rFonts w:ascii="Times New Roman" w:eastAsia="Times New Roman" w:hAnsi="Times New Roman" w:cs="Times New Roman"/>
          <w:sz w:val="18"/>
          <w:szCs w:val="18"/>
          <w:lang w:eastAsia="tr-TR"/>
        </w:rPr>
        <w:lastRenderedPageBreak/>
        <w:t> </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sz w:val="18"/>
          <w:szCs w:val="18"/>
          <w:lang w:eastAsia="tr-TR"/>
        </w:rPr>
        <w:t>b) “301.760” SUT Kodlu “MANOMETRE CVP” adlı tıbbi malzemeden sonra gelmek üzere aşağıdaki satırlar eklenmiştir.</w:t>
      </w:r>
    </w:p>
    <w:p w:rsidR="002A1ABF" w:rsidRPr="002A1ABF" w:rsidRDefault="002A1ABF" w:rsidP="002A1ABF">
      <w:pPr>
        <w:spacing w:before="100" w:beforeAutospacing="1" w:after="100" w:afterAutospacing="1" w:line="240" w:lineRule="atLeast"/>
        <w:jc w:val="center"/>
        <w:rPr>
          <w:rFonts w:ascii="Times New Roman" w:eastAsia="Times New Roman" w:hAnsi="Times New Roman" w:cs="Times New Roman"/>
          <w:sz w:val="27"/>
          <w:szCs w:val="27"/>
          <w:lang w:eastAsia="tr-TR"/>
        </w:rPr>
      </w:pPr>
      <w:r w:rsidRPr="002A1ABF">
        <w:rPr>
          <w:rFonts w:ascii="Times New Roman" w:eastAsia="Times New Roman" w:hAnsi="Times New Roman" w:cs="Times New Roman"/>
          <w:sz w:val="18"/>
          <w:szCs w:val="18"/>
          <w:lang w:eastAsia="tr-TR"/>
        </w:rPr>
        <w:t> </w:t>
      </w:r>
    </w:p>
    <w:tbl>
      <w:tblPr>
        <w:tblW w:w="8475" w:type="dxa"/>
        <w:jc w:val="center"/>
        <w:tblInd w:w="305" w:type="dxa"/>
        <w:tblCellMar>
          <w:left w:w="0" w:type="dxa"/>
          <w:right w:w="0" w:type="dxa"/>
        </w:tblCellMar>
        <w:tblLook w:val="04A0"/>
      </w:tblPr>
      <w:tblGrid>
        <w:gridCol w:w="960"/>
        <w:gridCol w:w="6795"/>
        <w:gridCol w:w="720"/>
      </w:tblGrid>
      <w:tr w:rsidR="002A1ABF" w:rsidRPr="002A1ABF" w:rsidTr="002A1ABF">
        <w:trPr>
          <w:trHeight w:val="300"/>
          <w:jc w:val="center"/>
        </w:trPr>
        <w:tc>
          <w:tcPr>
            <w:tcW w:w="9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2A1ABF" w:rsidRPr="002A1ABF" w:rsidRDefault="002A1ABF" w:rsidP="002A1ABF">
            <w:pPr>
              <w:spacing w:after="0" w:line="240" w:lineRule="auto"/>
              <w:jc w:val="center"/>
              <w:rPr>
                <w:rFonts w:ascii="Times New Roman" w:eastAsia="Times New Roman" w:hAnsi="Times New Roman" w:cs="Times New Roman"/>
                <w:sz w:val="24"/>
                <w:szCs w:val="24"/>
                <w:lang w:eastAsia="tr-TR"/>
              </w:rPr>
            </w:pPr>
            <w:r w:rsidRPr="002A1ABF">
              <w:rPr>
                <w:rFonts w:ascii="Times New Roman" w:eastAsia="Times New Roman" w:hAnsi="Times New Roman" w:cs="Times New Roman"/>
                <w:b/>
                <w:bCs/>
                <w:sz w:val="18"/>
                <w:szCs w:val="18"/>
                <w:lang w:eastAsia="tr-TR"/>
              </w:rPr>
              <w:t> </w:t>
            </w:r>
          </w:p>
        </w:tc>
        <w:tc>
          <w:tcPr>
            <w:tcW w:w="679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A1ABF" w:rsidRPr="002A1ABF" w:rsidRDefault="002A1ABF" w:rsidP="002A1ABF">
            <w:pPr>
              <w:spacing w:after="0" w:line="240" w:lineRule="auto"/>
              <w:rPr>
                <w:rFonts w:ascii="Times New Roman" w:eastAsia="Times New Roman" w:hAnsi="Times New Roman" w:cs="Times New Roman"/>
                <w:sz w:val="24"/>
                <w:szCs w:val="24"/>
                <w:lang w:eastAsia="tr-TR"/>
              </w:rPr>
            </w:pPr>
            <w:r w:rsidRPr="002A1ABF">
              <w:rPr>
                <w:rFonts w:ascii="Times New Roman" w:eastAsia="Times New Roman" w:hAnsi="Times New Roman" w:cs="Times New Roman"/>
                <w:b/>
                <w:bCs/>
                <w:sz w:val="18"/>
                <w:lang w:eastAsia="tr-TR"/>
              </w:rPr>
              <w:t>İNTRAVENÖZ  KANÜLLER</w:t>
            </w:r>
          </w:p>
        </w:tc>
        <w:tc>
          <w:tcPr>
            <w:tcW w:w="72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A1ABF" w:rsidRPr="002A1ABF" w:rsidRDefault="002A1ABF" w:rsidP="002A1ABF">
            <w:pPr>
              <w:spacing w:after="0" w:line="240" w:lineRule="auto"/>
              <w:jc w:val="right"/>
              <w:rPr>
                <w:rFonts w:ascii="Times New Roman" w:eastAsia="Times New Roman" w:hAnsi="Times New Roman" w:cs="Times New Roman"/>
                <w:sz w:val="24"/>
                <w:szCs w:val="24"/>
                <w:lang w:eastAsia="tr-TR"/>
              </w:rPr>
            </w:pPr>
            <w:r w:rsidRPr="002A1ABF">
              <w:rPr>
                <w:rFonts w:ascii="Times New Roman" w:eastAsia="Times New Roman" w:hAnsi="Times New Roman" w:cs="Times New Roman"/>
                <w:b/>
                <w:bCs/>
                <w:sz w:val="18"/>
                <w:szCs w:val="18"/>
                <w:lang w:eastAsia="tr-TR"/>
              </w:rPr>
              <w:t> </w:t>
            </w:r>
          </w:p>
        </w:tc>
      </w:tr>
      <w:tr w:rsidR="002A1ABF" w:rsidRPr="002A1ABF" w:rsidTr="002A1ABF">
        <w:trPr>
          <w:trHeight w:val="300"/>
          <w:jc w:val="center"/>
        </w:trPr>
        <w:tc>
          <w:tcPr>
            <w:tcW w:w="9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A1ABF" w:rsidRPr="002A1ABF" w:rsidRDefault="002A1ABF" w:rsidP="002A1ABF">
            <w:pPr>
              <w:spacing w:after="0" w:line="240" w:lineRule="auto"/>
              <w:jc w:val="center"/>
              <w:rPr>
                <w:rFonts w:ascii="Times New Roman" w:eastAsia="Times New Roman" w:hAnsi="Times New Roman" w:cs="Times New Roman"/>
                <w:sz w:val="24"/>
                <w:szCs w:val="24"/>
                <w:lang w:eastAsia="tr-TR"/>
              </w:rPr>
            </w:pPr>
            <w:r w:rsidRPr="002A1ABF">
              <w:rPr>
                <w:rFonts w:ascii="Times New Roman" w:eastAsia="Times New Roman" w:hAnsi="Times New Roman" w:cs="Times New Roman"/>
                <w:sz w:val="18"/>
                <w:szCs w:val="18"/>
                <w:lang w:eastAsia="tr-TR"/>
              </w:rPr>
              <w:t>302.210</w:t>
            </w:r>
          </w:p>
        </w:tc>
        <w:tc>
          <w:tcPr>
            <w:tcW w:w="67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1ABF" w:rsidRPr="002A1ABF" w:rsidRDefault="002A1ABF" w:rsidP="002A1ABF">
            <w:pPr>
              <w:spacing w:after="0" w:line="240" w:lineRule="auto"/>
              <w:rPr>
                <w:rFonts w:ascii="Times New Roman" w:eastAsia="Times New Roman" w:hAnsi="Times New Roman" w:cs="Times New Roman"/>
                <w:sz w:val="24"/>
                <w:szCs w:val="24"/>
                <w:lang w:eastAsia="tr-TR"/>
              </w:rPr>
            </w:pPr>
            <w:r w:rsidRPr="002A1ABF">
              <w:rPr>
                <w:rFonts w:ascii="Times New Roman" w:eastAsia="Times New Roman" w:hAnsi="Times New Roman" w:cs="Times New Roman"/>
                <w:sz w:val="18"/>
                <w:szCs w:val="18"/>
                <w:lang w:eastAsia="tr-TR"/>
              </w:rPr>
              <w:t>KANÜL I.V. NO:14-22</w:t>
            </w:r>
          </w:p>
        </w:tc>
        <w:tc>
          <w:tcPr>
            <w:tcW w:w="7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1ABF" w:rsidRPr="002A1ABF" w:rsidRDefault="002A1ABF" w:rsidP="002A1ABF">
            <w:pPr>
              <w:spacing w:after="0" w:line="240" w:lineRule="auto"/>
              <w:jc w:val="right"/>
              <w:rPr>
                <w:rFonts w:ascii="Times New Roman" w:eastAsia="Times New Roman" w:hAnsi="Times New Roman" w:cs="Times New Roman"/>
                <w:sz w:val="24"/>
                <w:szCs w:val="24"/>
                <w:lang w:eastAsia="tr-TR"/>
              </w:rPr>
            </w:pPr>
            <w:r w:rsidRPr="002A1ABF">
              <w:rPr>
                <w:rFonts w:ascii="Times New Roman" w:eastAsia="Times New Roman" w:hAnsi="Times New Roman" w:cs="Times New Roman"/>
                <w:sz w:val="18"/>
                <w:szCs w:val="18"/>
                <w:lang w:eastAsia="tr-TR"/>
              </w:rPr>
              <w:t>0,27</w:t>
            </w:r>
          </w:p>
        </w:tc>
      </w:tr>
      <w:tr w:rsidR="002A1ABF" w:rsidRPr="002A1ABF" w:rsidTr="002A1ABF">
        <w:trPr>
          <w:trHeight w:val="300"/>
          <w:jc w:val="center"/>
        </w:trPr>
        <w:tc>
          <w:tcPr>
            <w:tcW w:w="9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A1ABF" w:rsidRPr="002A1ABF" w:rsidRDefault="002A1ABF" w:rsidP="002A1ABF">
            <w:pPr>
              <w:spacing w:after="0" w:line="240" w:lineRule="auto"/>
              <w:jc w:val="center"/>
              <w:rPr>
                <w:rFonts w:ascii="Times New Roman" w:eastAsia="Times New Roman" w:hAnsi="Times New Roman" w:cs="Times New Roman"/>
                <w:sz w:val="24"/>
                <w:szCs w:val="24"/>
                <w:lang w:eastAsia="tr-TR"/>
              </w:rPr>
            </w:pPr>
            <w:r w:rsidRPr="002A1ABF">
              <w:rPr>
                <w:rFonts w:ascii="Times New Roman" w:eastAsia="Times New Roman" w:hAnsi="Times New Roman" w:cs="Times New Roman"/>
                <w:sz w:val="18"/>
                <w:szCs w:val="18"/>
                <w:lang w:eastAsia="tr-TR"/>
              </w:rPr>
              <w:t>302.220</w:t>
            </w:r>
          </w:p>
        </w:tc>
        <w:tc>
          <w:tcPr>
            <w:tcW w:w="67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1ABF" w:rsidRPr="002A1ABF" w:rsidRDefault="002A1ABF" w:rsidP="002A1ABF">
            <w:pPr>
              <w:spacing w:after="0" w:line="240" w:lineRule="auto"/>
              <w:rPr>
                <w:rFonts w:ascii="Times New Roman" w:eastAsia="Times New Roman" w:hAnsi="Times New Roman" w:cs="Times New Roman"/>
                <w:sz w:val="24"/>
                <w:szCs w:val="24"/>
                <w:lang w:eastAsia="tr-TR"/>
              </w:rPr>
            </w:pPr>
            <w:r w:rsidRPr="002A1ABF">
              <w:rPr>
                <w:rFonts w:ascii="Times New Roman" w:eastAsia="Times New Roman" w:hAnsi="Times New Roman" w:cs="Times New Roman"/>
                <w:sz w:val="18"/>
                <w:szCs w:val="18"/>
                <w:lang w:eastAsia="tr-TR"/>
              </w:rPr>
              <w:t>KANÜL I.V. NO:24-26</w:t>
            </w:r>
          </w:p>
        </w:tc>
        <w:tc>
          <w:tcPr>
            <w:tcW w:w="7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1ABF" w:rsidRPr="002A1ABF" w:rsidRDefault="002A1ABF" w:rsidP="002A1ABF">
            <w:pPr>
              <w:spacing w:after="0" w:line="240" w:lineRule="auto"/>
              <w:jc w:val="right"/>
              <w:rPr>
                <w:rFonts w:ascii="Times New Roman" w:eastAsia="Times New Roman" w:hAnsi="Times New Roman" w:cs="Times New Roman"/>
                <w:sz w:val="24"/>
                <w:szCs w:val="24"/>
                <w:lang w:eastAsia="tr-TR"/>
              </w:rPr>
            </w:pPr>
            <w:r w:rsidRPr="002A1ABF">
              <w:rPr>
                <w:rFonts w:ascii="Times New Roman" w:eastAsia="Times New Roman" w:hAnsi="Times New Roman" w:cs="Times New Roman"/>
                <w:sz w:val="18"/>
                <w:szCs w:val="18"/>
                <w:lang w:eastAsia="tr-TR"/>
              </w:rPr>
              <w:t>0,50</w:t>
            </w:r>
          </w:p>
        </w:tc>
      </w:tr>
      <w:tr w:rsidR="002A1ABF" w:rsidRPr="002A1ABF" w:rsidTr="002A1ABF">
        <w:trPr>
          <w:trHeight w:val="300"/>
          <w:jc w:val="center"/>
        </w:trPr>
        <w:tc>
          <w:tcPr>
            <w:tcW w:w="9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A1ABF" w:rsidRPr="002A1ABF" w:rsidRDefault="002A1ABF" w:rsidP="002A1ABF">
            <w:pPr>
              <w:spacing w:after="0" w:line="240" w:lineRule="auto"/>
              <w:jc w:val="center"/>
              <w:rPr>
                <w:rFonts w:ascii="Times New Roman" w:eastAsia="Times New Roman" w:hAnsi="Times New Roman" w:cs="Times New Roman"/>
                <w:sz w:val="24"/>
                <w:szCs w:val="24"/>
                <w:lang w:eastAsia="tr-TR"/>
              </w:rPr>
            </w:pPr>
            <w:r w:rsidRPr="002A1ABF">
              <w:rPr>
                <w:rFonts w:ascii="Times New Roman" w:eastAsia="Times New Roman" w:hAnsi="Times New Roman" w:cs="Times New Roman"/>
                <w:sz w:val="18"/>
                <w:szCs w:val="18"/>
                <w:lang w:eastAsia="tr-TR"/>
              </w:rPr>
              <w:t>302.230</w:t>
            </w:r>
          </w:p>
        </w:tc>
        <w:tc>
          <w:tcPr>
            <w:tcW w:w="67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1ABF" w:rsidRPr="002A1ABF" w:rsidRDefault="002A1ABF" w:rsidP="002A1ABF">
            <w:pPr>
              <w:spacing w:after="0" w:line="240" w:lineRule="auto"/>
              <w:rPr>
                <w:rFonts w:ascii="Times New Roman" w:eastAsia="Times New Roman" w:hAnsi="Times New Roman" w:cs="Times New Roman"/>
                <w:sz w:val="24"/>
                <w:szCs w:val="24"/>
                <w:lang w:eastAsia="tr-TR"/>
              </w:rPr>
            </w:pPr>
            <w:r w:rsidRPr="002A1ABF">
              <w:rPr>
                <w:rFonts w:ascii="Times New Roman" w:eastAsia="Times New Roman" w:hAnsi="Times New Roman" w:cs="Times New Roman"/>
                <w:sz w:val="18"/>
                <w:szCs w:val="18"/>
                <w:lang w:eastAsia="tr-TR"/>
              </w:rPr>
              <w:t>KAPALI DEVRE KORUMALI İNTRAVENÖZ KANÜL</w:t>
            </w:r>
          </w:p>
        </w:tc>
        <w:tc>
          <w:tcPr>
            <w:tcW w:w="7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A1ABF" w:rsidRPr="002A1ABF" w:rsidRDefault="002A1ABF" w:rsidP="002A1ABF">
            <w:pPr>
              <w:spacing w:after="0" w:line="240" w:lineRule="auto"/>
              <w:jc w:val="right"/>
              <w:rPr>
                <w:rFonts w:ascii="Times New Roman" w:eastAsia="Times New Roman" w:hAnsi="Times New Roman" w:cs="Times New Roman"/>
                <w:sz w:val="24"/>
                <w:szCs w:val="24"/>
                <w:lang w:eastAsia="tr-TR"/>
              </w:rPr>
            </w:pPr>
            <w:r w:rsidRPr="002A1ABF">
              <w:rPr>
                <w:rFonts w:ascii="Times New Roman" w:eastAsia="Times New Roman" w:hAnsi="Times New Roman" w:cs="Times New Roman"/>
                <w:sz w:val="18"/>
                <w:szCs w:val="18"/>
                <w:lang w:eastAsia="tr-TR"/>
              </w:rPr>
              <w:t>1,68</w:t>
            </w:r>
          </w:p>
        </w:tc>
      </w:tr>
    </w:tbl>
    <w:p w:rsidR="002A1ABF" w:rsidRPr="002A1ABF" w:rsidRDefault="002A1ABF" w:rsidP="002A1ABF">
      <w:pPr>
        <w:spacing w:before="100" w:beforeAutospacing="1" w:after="100" w:afterAutospacing="1" w:line="240" w:lineRule="atLeast"/>
        <w:jc w:val="center"/>
        <w:rPr>
          <w:rFonts w:ascii="Times New Roman" w:eastAsia="Times New Roman" w:hAnsi="Times New Roman" w:cs="Times New Roman"/>
          <w:sz w:val="27"/>
          <w:szCs w:val="27"/>
          <w:lang w:eastAsia="tr-TR"/>
        </w:rPr>
      </w:pPr>
      <w:r w:rsidRPr="002A1ABF">
        <w:rPr>
          <w:rFonts w:ascii="Times New Roman" w:eastAsia="Times New Roman" w:hAnsi="Times New Roman" w:cs="Times New Roman"/>
          <w:sz w:val="18"/>
          <w:szCs w:val="18"/>
          <w:lang w:eastAsia="tr-TR"/>
        </w:rPr>
        <w:t> </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b/>
          <w:bCs/>
          <w:sz w:val="18"/>
          <w:szCs w:val="18"/>
          <w:lang w:eastAsia="tr-TR"/>
        </w:rPr>
        <w:t>MADDE 20 – </w:t>
      </w:r>
      <w:r w:rsidRPr="002A1ABF">
        <w:rPr>
          <w:rFonts w:ascii="Verdana" w:eastAsia="Times New Roman" w:hAnsi="Verdana" w:cs="Times New Roman"/>
          <w:sz w:val="18"/>
          <w:szCs w:val="18"/>
          <w:lang w:eastAsia="tr-TR"/>
        </w:rPr>
        <w:t>Aynı Tebliğin “DİĞER PROTEZ ORTEZLER (EK-3/C-3)” listesinde aşağıdaki değişiklikler yapılmıştır.</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sz w:val="18"/>
          <w:szCs w:val="18"/>
          <w:lang w:eastAsia="tr-TR"/>
        </w:rPr>
        <w:t>a) “DO1010” SUT kodlu “OKSİJEN TÜPÜ VE MANOMETRESİ” adlı tıbbi malzemeden sonra gelmek üzere aşağıdaki satır eklenmiştir.</w:t>
      </w:r>
    </w:p>
    <w:p w:rsidR="002A1ABF" w:rsidRPr="002A1ABF" w:rsidRDefault="002A1ABF" w:rsidP="002A1ABF">
      <w:pPr>
        <w:spacing w:before="100" w:beforeAutospacing="1" w:after="100" w:afterAutospacing="1" w:line="240" w:lineRule="atLeast"/>
        <w:jc w:val="center"/>
        <w:rPr>
          <w:rFonts w:ascii="Times New Roman" w:eastAsia="Times New Roman" w:hAnsi="Times New Roman" w:cs="Times New Roman"/>
          <w:sz w:val="27"/>
          <w:szCs w:val="27"/>
          <w:lang w:eastAsia="tr-TR"/>
        </w:rPr>
      </w:pPr>
      <w:r w:rsidRPr="002A1ABF">
        <w:rPr>
          <w:rFonts w:ascii="Times New Roman" w:eastAsia="Times New Roman" w:hAnsi="Times New Roman" w:cs="Times New Roman"/>
          <w:sz w:val="18"/>
          <w:szCs w:val="18"/>
          <w:lang w:eastAsia="tr-TR"/>
        </w:rPr>
        <w:t> </w:t>
      </w:r>
    </w:p>
    <w:tbl>
      <w:tblPr>
        <w:tblW w:w="8534" w:type="dxa"/>
        <w:jc w:val="center"/>
        <w:tblInd w:w="250" w:type="dxa"/>
        <w:tblCellMar>
          <w:left w:w="0" w:type="dxa"/>
          <w:right w:w="0" w:type="dxa"/>
        </w:tblCellMar>
        <w:tblLook w:val="04A0"/>
      </w:tblPr>
      <w:tblGrid>
        <w:gridCol w:w="926"/>
        <w:gridCol w:w="3501"/>
        <w:gridCol w:w="397"/>
        <w:gridCol w:w="397"/>
        <w:gridCol w:w="1535"/>
        <w:gridCol w:w="397"/>
        <w:gridCol w:w="397"/>
        <w:gridCol w:w="984"/>
      </w:tblGrid>
      <w:tr w:rsidR="002A1ABF" w:rsidRPr="002A1ABF" w:rsidTr="002A1ABF">
        <w:trPr>
          <w:trHeight w:val="503"/>
          <w:jc w:val="center"/>
        </w:trPr>
        <w:tc>
          <w:tcPr>
            <w:tcW w:w="92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2A1ABF" w:rsidRPr="002A1ABF" w:rsidRDefault="002A1ABF" w:rsidP="002A1ABF">
            <w:pPr>
              <w:spacing w:after="0" w:line="240" w:lineRule="auto"/>
              <w:jc w:val="center"/>
              <w:rPr>
                <w:rFonts w:ascii="Times New Roman" w:eastAsia="Times New Roman" w:hAnsi="Times New Roman" w:cs="Times New Roman"/>
                <w:sz w:val="24"/>
                <w:szCs w:val="24"/>
                <w:lang w:eastAsia="tr-TR"/>
              </w:rPr>
            </w:pPr>
            <w:r w:rsidRPr="002A1ABF">
              <w:rPr>
                <w:rFonts w:ascii="Times New Roman" w:eastAsia="Times New Roman" w:hAnsi="Times New Roman" w:cs="Times New Roman"/>
                <w:b/>
                <w:bCs/>
                <w:sz w:val="18"/>
                <w:szCs w:val="18"/>
                <w:lang w:eastAsia="tr-TR"/>
              </w:rPr>
              <w:t>DO1071</w:t>
            </w:r>
          </w:p>
        </w:tc>
        <w:tc>
          <w:tcPr>
            <w:tcW w:w="3501"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2A1ABF" w:rsidRPr="002A1ABF" w:rsidRDefault="002A1ABF" w:rsidP="002A1ABF">
            <w:pPr>
              <w:spacing w:after="0" w:line="240" w:lineRule="auto"/>
              <w:rPr>
                <w:rFonts w:ascii="Times New Roman" w:eastAsia="Times New Roman" w:hAnsi="Times New Roman" w:cs="Times New Roman"/>
                <w:sz w:val="24"/>
                <w:szCs w:val="24"/>
                <w:lang w:eastAsia="tr-TR"/>
              </w:rPr>
            </w:pPr>
            <w:r w:rsidRPr="002A1ABF">
              <w:rPr>
                <w:rFonts w:ascii="Times New Roman" w:eastAsia="Times New Roman" w:hAnsi="Times New Roman" w:cs="Times New Roman"/>
                <w:sz w:val="18"/>
                <w:szCs w:val="18"/>
                <w:lang w:eastAsia="tr-TR"/>
              </w:rPr>
              <w:t>TAŞINABİLİR (PORTABLE) OKSİJEN KONSANTRATÖRÜ (5 KG ALTINDA, ŞARJLI VE YEDEK BATARYA İLE BİRLİKTE)</w:t>
            </w:r>
          </w:p>
        </w:tc>
        <w:tc>
          <w:tcPr>
            <w:tcW w:w="39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2A1ABF" w:rsidRPr="002A1ABF" w:rsidRDefault="002A1ABF" w:rsidP="002A1ABF">
            <w:pPr>
              <w:spacing w:after="0" w:line="240" w:lineRule="auto"/>
              <w:jc w:val="center"/>
              <w:rPr>
                <w:rFonts w:ascii="Times New Roman" w:eastAsia="Times New Roman" w:hAnsi="Times New Roman" w:cs="Times New Roman"/>
                <w:sz w:val="24"/>
                <w:szCs w:val="24"/>
                <w:lang w:eastAsia="tr-TR"/>
              </w:rPr>
            </w:pPr>
            <w:r w:rsidRPr="002A1ABF">
              <w:rPr>
                <w:rFonts w:ascii="Times New Roman" w:eastAsia="Times New Roman" w:hAnsi="Times New Roman" w:cs="Times New Roman"/>
                <w:sz w:val="18"/>
                <w:szCs w:val="18"/>
                <w:lang w:eastAsia="tr-TR"/>
              </w:rPr>
              <w:t> </w:t>
            </w:r>
          </w:p>
        </w:tc>
        <w:tc>
          <w:tcPr>
            <w:tcW w:w="39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2A1ABF" w:rsidRPr="002A1ABF" w:rsidRDefault="002A1ABF" w:rsidP="002A1ABF">
            <w:pPr>
              <w:spacing w:after="0" w:line="240" w:lineRule="auto"/>
              <w:jc w:val="center"/>
              <w:rPr>
                <w:rFonts w:ascii="Times New Roman" w:eastAsia="Times New Roman" w:hAnsi="Times New Roman" w:cs="Times New Roman"/>
                <w:sz w:val="24"/>
                <w:szCs w:val="24"/>
                <w:lang w:eastAsia="tr-TR"/>
              </w:rPr>
            </w:pPr>
            <w:r w:rsidRPr="002A1ABF">
              <w:rPr>
                <w:rFonts w:ascii="Times New Roman" w:eastAsia="Times New Roman" w:hAnsi="Times New Roman" w:cs="Times New Roman"/>
                <w:b/>
                <w:bCs/>
                <w:sz w:val="18"/>
                <w:szCs w:val="18"/>
                <w:lang w:eastAsia="tr-TR"/>
              </w:rPr>
              <w:t> </w:t>
            </w:r>
          </w:p>
        </w:tc>
        <w:tc>
          <w:tcPr>
            <w:tcW w:w="153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A1ABF" w:rsidRPr="002A1ABF" w:rsidRDefault="002A1ABF" w:rsidP="002A1ABF">
            <w:pPr>
              <w:spacing w:after="0" w:line="240" w:lineRule="auto"/>
              <w:jc w:val="center"/>
              <w:rPr>
                <w:rFonts w:ascii="Times New Roman" w:eastAsia="Times New Roman" w:hAnsi="Times New Roman" w:cs="Times New Roman"/>
                <w:sz w:val="24"/>
                <w:szCs w:val="24"/>
                <w:lang w:eastAsia="tr-TR"/>
              </w:rPr>
            </w:pPr>
            <w:r w:rsidRPr="002A1ABF">
              <w:rPr>
                <w:rFonts w:ascii="Times New Roman" w:eastAsia="Times New Roman" w:hAnsi="Times New Roman" w:cs="Times New Roman"/>
                <w:b/>
                <w:bCs/>
                <w:sz w:val="18"/>
                <w:szCs w:val="18"/>
                <w:lang w:eastAsia="tr-TR"/>
              </w:rPr>
              <w:t> 10 yıl</w:t>
            </w:r>
          </w:p>
        </w:tc>
        <w:tc>
          <w:tcPr>
            <w:tcW w:w="39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A1ABF" w:rsidRPr="002A1ABF" w:rsidRDefault="002A1ABF" w:rsidP="002A1ABF">
            <w:pPr>
              <w:spacing w:after="0" w:line="240" w:lineRule="auto"/>
              <w:jc w:val="center"/>
              <w:rPr>
                <w:rFonts w:ascii="Times New Roman" w:eastAsia="Times New Roman" w:hAnsi="Times New Roman" w:cs="Times New Roman"/>
                <w:sz w:val="24"/>
                <w:szCs w:val="24"/>
                <w:lang w:eastAsia="tr-TR"/>
              </w:rPr>
            </w:pPr>
            <w:r w:rsidRPr="002A1ABF">
              <w:rPr>
                <w:rFonts w:ascii="Times New Roman" w:eastAsia="Times New Roman" w:hAnsi="Times New Roman" w:cs="Times New Roman"/>
                <w:b/>
                <w:bCs/>
                <w:sz w:val="18"/>
                <w:szCs w:val="18"/>
                <w:lang w:eastAsia="tr-TR"/>
              </w:rPr>
              <w:t> </w:t>
            </w:r>
          </w:p>
        </w:tc>
        <w:tc>
          <w:tcPr>
            <w:tcW w:w="39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A1ABF" w:rsidRPr="002A1ABF" w:rsidRDefault="002A1ABF" w:rsidP="002A1ABF">
            <w:pPr>
              <w:spacing w:after="0" w:line="240" w:lineRule="auto"/>
              <w:jc w:val="center"/>
              <w:rPr>
                <w:rFonts w:ascii="Times New Roman" w:eastAsia="Times New Roman" w:hAnsi="Times New Roman" w:cs="Times New Roman"/>
                <w:sz w:val="24"/>
                <w:szCs w:val="24"/>
                <w:lang w:eastAsia="tr-TR"/>
              </w:rPr>
            </w:pPr>
            <w:r w:rsidRPr="002A1ABF">
              <w:rPr>
                <w:rFonts w:ascii="Times New Roman" w:eastAsia="Times New Roman" w:hAnsi="Times New Roman" w:cs="Times New Roman"/>
                <w:b/>
                <w:bCs/>
                <w:sz w:val="18"/>
                <w:szCs w:val="18"/>
                <w:lang w:eastAsia="tr-TR"/>
              </w:rPr>
              <w:t> </w:t>
            </w:r>
          </w:p>
        </w:tc>
        <w:tc>
          <w:tcPr>
            <w:tcW w:w="98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2A1ABF" w:rsidRPr="002A1ABF" w:rsidRDefault="002A1ABF" w:rsidP="002A1ABF">
            <w:pPr>
              <w:spacing w:after="0" w:line="240" w:lineRule="auto"/>
              <w:jc w:val="center"/>
              <w:rPr>
                <w:rFonts w:ascii="Times New Roman" w:eastAsia="Times New Roman" w:hAnsi="Times New Roman" w:cs="Times New Roman"/>
                <w:sz w:val="24"/>
                <w:szCs w:val="24"/>
                <w:lang w:eastAsia="tr-TR"/>
              </w:rPr>
            </w:pPr>
            <w:r w:rsidRPr="002A1ABF">
              <w:rPr>
                <w:rFonts w:ascii="Times New Roman" w:eastAsia="Times New Roman" w:hAnsi="Times New Roman" w:cs="Times New Roman"/>
                <w:b/>
                <w:bCs/>
                <w:sz w:val="18"/>
                <w:szCs w:val="18"/>
                <w:lang w:eastAsia="tr-TR"/>
              </w:rPr>
              <w:t>6.000,00</w:t>
            </w:r>
          </w:p>
        </w:tc>
      </w:tr>
    </w:tbl>
    <w:p w:rsidR="002A1ABF" w:rsidRPr="002A1ABF" w:rsidRDefault="002A1ABF" w:rsidP="002A1ABF">
      <w:pPr>
        <w:spacing w:before="100" w:beforeAutospacing="1" w:after="100" w:afterAutospacing="1" w:line="240" w:lineRule="atLeast"/>
        <w:jc w:val="center"/>
        <w:rPr>
          <w:rFonts w:ascii="Times New Roman" w:eastAsia="Times New Roman" w:hAnsi="Times New Roman" w:cs="Times New Roman"/>
          <w:sz w:val="27"/>
          <w:szCs w:val="27"/>
          <w:lang w:eastAsia="tr-TR"/>
        </w:rPr>
      </w:pPr>
      <w:r w:rsidRPr="002A1ABF">
        <w:rPr>
          <w:rFonts w:ascii="Times New Roman" w:eastAsia="Times New Roman" w:hAnsi="Times New Roman" w:cs="Times New Roman"/>
          <w:sz w:val="18"/>
          <w:szCs w:val="18"/>
          <w:lang w:eastAsia="tr-TR"/>
        </w:rPr>
        <w:t> </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sz w:val="18"/>
          <w:szCs w:val="18"/>
          <w:lang w:eastAsia="tr-TR"/>
        </w:rPr>
        <w:t>b) “DO1016” SUT kodlu “ADAPTİF BASINÇ DESTEKLİ SERVO VENTİLASYON (ASV) CİHAZI” adlı tıbbi malzemenin fiyatı 7.500 (</w:t>
      </w:r>
      <w:proofErr w:type="spellStart"/>
      <w:r w:rsidRPr="002A1ABF">
        <w:rPr>
          <w:rFonts w:ascii="Verdana" w:eastAsia="Times New Roman" w:hAnsi="Verdana" w:cs="Times New Roman"/>
          <w:sz w:val="18"/>
          <w:lang w:eastAsia="tr-TR"/>
        </w:rPr>
        <w:t>Yedibinbeşyüz</w:t>
      </w:r>
      <w:proofErr w:type="spellEnd"/>
      <w:r w:rsidRPr="002A1ABF">
        <w:rPr>
          <w:rFonts w:ascii="Verdana" w:eastAsia="Times New Roman" w:hAnsi="Verdana" w:cs="Times New Roman"/>
          <w:sz w:val="18"/>
          <w:szCs w:val="18"/>
          <w:lang w:eastAsia="tr-TR"/>
        </w:rPr>
        <w:t>) TL olarak değiştirilmiştir.</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b/>
          <w:bCs/>
          <w:sz w:val="18"/>
          <w:szCs w:val="18"/>
          <w:lang w:eastAsia="tr-TR"/>
        </w:rPr>
        <w:t>MADDE 21 – </w:t>
      </w:r>
      <w:r w:rsidRPr="002A1ABF">
        <w:rPr>
          <w:rFonts w:ascii="Verdana" w:eastAsia="Times New Roman" w:hAnsi="Verdana" w:cs="Times New Roman"/>
          <w:sz w:val="18"/>
          <w:szCs w:val="18"/>
          <w:lang w:eastAsia="tr-TR"/>
        </w:rPr>
        <w:t>Aynı Tebliğin “BEYİN CERRAHİSİ BRANŞI KRANİAL CERRAHİSİ ALAN GRUBUNA AİT TIBBİ MALZEMELER (EK-3/E2)” ekteki “Liste 3” de yer aldığı şekilde yeniden düzenlenmiştir.</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b/>
          <w:bCs/>
          <w:sz w:val="18"/>
          <w:szCs w:val="18"/>
          <w:lang w:eastAsia="tr-TR"/>
        </w:rPr>
        <w:t>MADDE 22 – </w:t>
      </w:r>
      <w:r w:rsidRPr="002A1ABF">
        <w:rPr>
          <w:rFonts w:ascii="Verdana" w:eastAsia="Times New Roman" w:hAnsi="Verdana" w:cs="Times New Roman"/>
          <w:sz w:val="18"/>
          <w:szCs w:val="18"/>
          <w:lang w:eastAsia="tr-TR"/>
        </w:rPr>
        <w:t>Aynı Tebliğin “GÖZ SAĞLIĞI VE HASTALIKLARI BRANŞINA AİT TIBBİ MALZEMELER (EK-3/G)” ekteki “Liste 4” de yer aldığı şekilde yeniden düzenlenmiştir.</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b/>
          <w:bCs/>
          <w:sz w:val="18"/>
          <w:szCs w:val="18"/>
          <w:lang w:eastAsia="tr-TR"/>
        </w:rPr>
        <w:t>MADDE 23 – </w:t>
      </w:r>
      <w:r w:rsidRPr="002A1ABF">
        <w:rPr>
          <w:rFonts w:ascii="Verdana" w:eastAsia="Times New Roman" w:hAnsi="Verdana" w:cs="Times New Roman"/>
          <w:sz w:val="18"/>
          <w:szCs w:val="18"/>
          <w:lang w:eastAsia="tr-TR"/>
        </w:rPr>
        <w:t>Aynı Tebliğin “KARDİYOLOJİ BRANŞINA AİT TIBBİ MALZEMELER (EK-3/H)” ekteki “Liste 5” de yer aldığı şekilde yeniden düzenlenmiştir.</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b/>
          <w:bCs/>
          <w:sz w:val="18"/>
          <w:szCs w:val="18"/>
          <w:lang w:eastAsia="tr-TR"/>
        </w:rPr>
        <w:t>MADDE 24 –</w:t>
      </w:r>
      <w:r w:rsidRPr="002A1ABF">
        <w:rPr>
          <w:rFonts w:ascii="Verdana" w:eastAsia="Times New Roman" w:hAnsi="Verdana" w:cs="Times New Roman"/>
          <w:sz w:val="18"/>
          <w:szCs w:val="18"/>
          <w:lang w:eastAsia="tr-TR"/>
        </w:rPr>
        <w:t> Aynı Tebliğin “KALP DAMAR CERRAHİSİ BRANŞINA AİT TIBBİ MALZEMELER (EK-3/I)” ekteki “Liste 6” da yer aldığı şekilde yeniden düzenlenmiştir.</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b/>
          <w:bCs/>
          <w:sz w:val="18"/>
          <w:szCs w:val="18"/>
          <w:lang w:eastAsia="tr-TR"/>
        </w:rPr>
        <w:t>MADDE 25 – </w:t>
      </w:r>
      <w:r w:rsidRPr="002A1ABF">
        <w:rPr>
          <w:rFonts w:ascii="Verdana" w:eastAsia="Times New Roman" w:hAnsi="Verdana" w:cs="Times New Roman"/>
          <w:sz w:val="18"/>
          <w:szCs w:val="18"/>
          <w:lang w:eastAsia="tr-TR"/>
        </w:rPr>
        <w:t>Aynı Tebliğin “KULAK BURUN BOĞAZ BRANŞINA AİT TIBBİ MALZEMELER (EK-3/J)” ekteki “Liste 7” de yer aldığı şekilde yeniden düzenlenmiştir.</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b/>
          <w:bCs/>
          <w:sz w:val="18"/>
          <w:szCs w:val="18"/>
          <w:lang w:eastAsia="tr-TR"/>
        </w:rPr>
        <w:t>MADDE 26 – </w:t>
      </w:r>
      <w:r w:rsidRPr="002A1ABF">
        <w:rPr>
          <w:rFonts w:ascii="Verdana" w:eastAsia="Times New Roman" w:hAnsi="Verdana" w:cs="Times New Roman"/>
          <w:sz w:val="18"/>
          <w:szCs w:val="18"/>
          <w:lang w:eastAsia="tr-TR"/>
        </w:rPr>
        <w:t>Aynı Tebliğin “KADIN HASTALIKLARI VE DOĞUM BRANŞINA AİT TIBBİ MALZEMELER (EK-3/K)” ekteki “Liste 8” da yer aldığı şekilde yeniden düzenlenmiştir.</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b/>
          <w:bCs/>
          <w:sz w:val="18"/>
          <w:szCs w:val="18"/>
          <w:lang w:eastAsia="tr-TR"/>
        </w:rPr>
        <w:t>MADDE 27 – </w:t>
      </w:r>
      <w:r w:rsidRPr="002A1ABF">
        <w:rPr>
          <w:rFonts w:ascii="Verdana" w:eastAsia="Times New Roman" w:hAnsi="Verdana" w:cs="Times New Roman"/>
          <w:sz w:val="18"/>
          <w:szCs w:val="18"/>
          <w:lang w:eastAsia="tr-TR"/>
        </w:rPr>
        <w:t>Aynı Tebliğin “ÜROLOJİ BRANŞINA AİT TIBBİ MALZEMELER (EK-3/L)” ekteki “Liste 9” da yer aldığı şekilde yeniden düzenlenmiştir.</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b/>
          <w:bCs/>
          <w:sz w:val="18"/>
          <w:szCs w:val="18"/>
          <w:lang w:eastAsia="tr-TR"/>
        </w:rPr>
        <w:lastRenderedPageBreak/>
        <w:t>MADDE 28 – </w:t>
      </w:r>
      <w:r w:rsidRPr="002A1ABF">
        <w:rPr>
          <w:rFonts w:ascii="Verdana" w:eastAsia="Times New Roman" w:hAnsi="Verdana" w:cs="Times New Roman"/>
          <w:sz w:val="18"/>
          <w:szCs w:val="18"/>
          <w:lang w:eastAsia="tr-TR"/>
        </w:rPr>
        <w:t>Aynı Tebliğin “RADYOLOJİ BRANŞI VE ENDOVASKÜLER/NONVASKÜLER GİRİŞİMSEL İŞLEMLERE AİT TIBBİ MALZEMELER (EK-3/M)” ekteki “Liste 10”da yer aldığı şekilde yeniden düzenlenmiştir.</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b/>
          <w:bCs/>
          <w:sz w:val="18"/>
          <w:szCs w:val="18"/>
          <w:lang w:eastAsia="tr-TR"/>
        </w:rPr>
        <w:t>MADDE 29 –</w:t>
      </w:r>
      <w:r w:rsidRPr="002A1ABF">
        <w:rPr>
          <w:rFonts w:ascii="Verdana" w:eastAsia="Times New Roman" w:hAnsi="Verdana" w:cs="Times New Roman"/>
          <w:sz w:val="18"/>
          <w:szCs w:val="18"/>
          <w:lang w:eastAsia="tr-TR"/>
        </w:rPr>
        <w:t> Aynı Tebliğe “HEMATOLOJİ ONKOLOJİ BRANŞINA AİT TIBBİ MALZEMELER (EK-3/O)” ekteki “Liste 11” de yer aldığı şekilde eklenmiştir.</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b/>
          <w:bCs/>
          <w:sz w:val="18"/>
          <w:szCs w:val="18"/>
          <w:lang w:eastAsia="tr-TR"/>
        </w:rPr>
        <w:t>MADDE 30 – </w:t>
      </w:r>
      <w:r w:rsidRPr="002A1ABF">
        <w:rPr>
          <w:rFonts w:ascii="Verdana" w:eastAsia="Times New Roman" w:hAnsi="Verdana" w:cs="Times New Roman"/>
          <w:sz w:val="18"/>
          <w:szCs w:val="18"/>
          <w:lang w:eastAsia="tr-TR"/>
        </w:rPr>
        <w:t>Aynı Tebliğe “NEFROLOJİ BRANŞINA AİT TIBBİ MALZEMELER (EK-3/P)” ekteki “Liste 12” de yer aldığı şekilde eklenmiştir.</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b/>
          <w:bCs/>
          <w:sz w:val="18"/>
          <w:szCs w:val="18"/>
          <w:lang w:eastAsia="tr-TR"/>
        </w:rPr>
        <w:t>MADDE 31 – </w:t>
      </w:r>
      <w:r w:rsidRPr="002A1ABF">
        <w:rPr>
          <w:rFonts w:ascii="Verdana" w:eastAsia="Times New Roman" w:hAnsi="Verdana" w:cs="Times New Roman"/>
          <w:sz w:val="18"/>
          <w:szCs w:val="18"/>
          <w:lang w:eastAsia="tr-TR"/>
        </w:rPr>
        <w:t>Bu Tebliğin;</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sz w:val="18"/>
          <w:szCs w:val="18"/>
          <w:lang w:eastAsia="tr-TR"/>
        </w:rPr>
        <w:t>a) 6 </w:t>
      </w:r>
      <w:proofErr w:type="spellStart"/>
      <w:r w:rsidRPr="002A1ABF">
        <w:rPr>
          <w:rFonts w:ascii="Verdana" w:eastAsia="Times New Roman" w:hAnsi="Verdana" w:cs="Times New Roman"/>
          <w:sz w:val="18"/>
          <w:lang w:eastAsia="tr-TR"/>
        </w:rPr>
        <w:t>ncı</w:t>
      </w:r>
      <w:proofErr w:type="spellEnd"/>
      <w:r w:rsidRPr="002A1ABF">
        <w:rPr>
          <w:rFonts w:ascii="Verdana" w:eastAsia="Times New Roman" w:hAnsi="Verdana" w:cs="Times New Roman"/>
          <w:sz w:val="18"/>
          <w:szCs w:val="18"/>
          <w:lang w:eastAsia="tr-TR"/>
        </w:rPr>
        <w:t> maddesi </w:t>
      </w:r>
      <w:proofErr w:type="gramStart"/>
      <w:r w:rsidRPr="002A1ABF">
        <w:rPr>
          <w:rFonts w:ascii="Verdana" w:eastAsia="Times New Roman" w:hAnsi="Verdana" w:cs="Times New Roman"/>
          <w:sz w:val="18"/>
          <w:lang w:eastAsia="tr-TR"/>
        </w:rPr>
        <w:t>1/5/2013</w:t>
      </w:r>
      <w:proofErr w:type="gramEnd"/>
      <w:r w:rsidRPr="002A1ABF">
        <w:rPr>
          <w:rFonts w:ascii="Verdana" w:eastAsia="Times New Roman" w:hAnsi="Verdana" w:cs="Times New Roman"/>
          <w:sz w:val="18"/>
          <w:szCs w:val="18"/>
          <w:lang w:eastAsia="tr-TR"/>
        </w:rPr>
        <w:t> tarihinden geçerli olmak üzere yayımı tarihinde,</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sz w:val="18"/>
          <w:szCs w:val="18"/>
          <w:lang w:eastAsia="tr-TR"/>
        </w:rPr>
        <w:t>b) 9 uncu maddesi </w:t>
      </w:r>
      <w:proofErr w:type="gramStart"/>
      <w:r w:rsidRPr="002A1ABF">
        <w:rPr>
          <w:rFonts w:ascii="Verdana" w:eastAsia="Times New Roman" w:hAnsi="Verdana" w:cs="Times New Roman"/>
          <w:sz w:val="18"/>
          <w:lang w:eastAsia="tr-TR"/>
        </w:rPr>
        <w:t>1/1/2014</w:t>
      </w:r>
      <w:proofErr w:type="gramEnd"/>
      <w:r w:rsidRPr="002A1ABF">
        <w:rPr>
          <w:rFonts w:ascii="Verdana" w:eastAsia="Times New Roman" w:hAnsi="Verdana" w:cs="Times New Roman"/>
          <w:sz w:val="18"/>
          <w:szCs w:val="18"/>
          <w:lang w:eastAsia="tr-TR"/>
        </w:rPr>
        <w:t> tarihinde,</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sz w:val="18"/>
          <w:szCs w:val="18"/>
          <w:lang w:eastAsia="tr-TR"/>
        </w:rPr>
        <w:t>c) diğer hükümleri yayımı tarihinde,</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proofErr w:type="gramStart"/>
      <w:r w:rsidRPr="002A1ABF">
        <w:rPr>
          <w:rFonts w:ascii="Verdana" w:eastAsia="Times New Roman" w:hAnsi="Verdana" w:cs="Times New Roman"/>
          <w:sz w:val="18"/>
          <w:lang w:eastAsia="tr-TR"/>
        </w:rPr>
        <w:t>yürürlüğe</w:t>
      </w:r>
      <w:proofErr w:type="gramEnd"/>
      <w:r w:rsidRPr="002A1ABF">
        <w:rPr>
          <w:rFonts w:ascii="Verdana" w:eastAsia="Times New Roman" w:hAnsi="Verdana" w:cs="Times New Roman"/>
          <w:sz w:val="18"/>
          <w:szCs w:val="18"/>
          <w:lang w:eastAsia="tr-TR"/>
        </w:rPr>
        <w:t> girer.</w:t>
      </w:r>
    </w:p>
    <w:p w:rsidR="002A1ABF" w:rsidRPr="002A1ABF" w:rsidRDefault="002A1ABF" w:rsidP="002A1ABF">
      <w:pPr>
        <w:spacing w:before="100" w:beforeAutospacing="1" w:after="100" w:afterAutospacing="1" w:line="240" w:lineRule="atLeast"/>
        <w:ind w:firstLine="566"/>
        <w:jc w:val="both"/>
        <w:rPr>
          <w:rFonts w:ascii="Times New Roman" w:eastAsia="Times New Roman" w:hAnsi="Times New Roman" w:cs="Times New Roman"/>
          <w:sz w:val="27"/>
          <w:szCs w:val="27"/>
          <w:lang w:eastAsia="tr-TR"/>
        </w:rPr>
      </w:pPr>
      <w:r w:rsidRPr="002A1ABF">
        <w:rPr>
          <w:rFonts w:ascii="Verdana" w:eastAsia="Times New Roman" w:hAnsi="Verdana" w:cs="Times New Roman"/>
          <w:b/>
          <w:bCs/>
          <w:sz w:val="18"/>
          <w:szCs w:val="18"/>
          <w:lang w:eastAsia="tr-TR"/>
        </w:rPr>
        <w:t>MADDE 32 – </w:t>
      </w:r>
      <w:r w:rsidRPr="002A1ABF">
        <w:rPr>
          <w:rFonts w:ascii="Verdana" w:eastAsia="Times New Roman" w:hAnsi="Verdana" w:cs="Times New Roman"/>
          <w:sz w:val="18"/>
          <w:szCs w:val="18"/>
          <w:lang w:eastAsia="tr-TR"/>
        </w:rPr>
        <w:t>Bu Tebliğ hükümlerini Sosyal Güvenlik Kurumu Başkanı yürütür.</w:t>
      </w:r>
      <w:r w:rsidRPr="002A1ABF">
        <w:rPr>
          <w:rFonts w:ascii="Times New Roman" w:eastAsia="Times New Roman" w:hAnsi="Times New Roman" w:cs="Times New Roman"/>
          <w:sz w:val="18"/>
          <w:szCs w:val="18"/>
          <w:lang w:eastAsia="tr-TR"/>
        </w:rPr>
        <w:t> </w:t>
      </w:r>
    </w:p>
    <w:p w:rsidR="002A1ABF" w:rsidRPr="002A1ABF" w:rsidRDefault="002A1ABF" w:rsidP="002A1ABF">
      <w:pPr>
        <w:spacing w:before="100" w:beforeAutospacing="1" w:after="100" w:afterAutospacing="1" w:line="240" w:lineRule="atLeast"/>
        <w:jc w:val="center"/>
        <w:rPr>
          <w:rFonts w:ascii="Times New Roman" w:eastAsia="Times New Roman" w:hAnsi="Times New Roman" w:cs="Times New Roman"/>
          <w:sz w:val="27"/>
          <w:szCs w:val="27"/>
          <w:lang w:eastAsia="tr-TR"/>
        </w:rPr>
      </w:pPr>
      <w:r w:rsidRPr="002A1ABF">
        <w:rPr>
          <w:rFonts w:ascii="Times New Roman" w:eastAsia="Times New Roman" w:hAnsi="Times New Roman" w:cs="Times New Roman"/>
          <w:sz w:val="18"/>
          <w:lang w:eastAsia="tr-TR"/>
        </w:rPr>
        <w:t> </w:t>
      </w:r>
    </w:p>
    <w:p w:rsidR="00C70F1E" w:rsidRDefault="00C70F1E"/>
    <w:sectPr w:rsidR="00C70F1E" w:rsidSect="00C70F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1ABF"/>
    <w:rsid w:val="002A1ABF"/>
    <w:rsid w:val="00C70F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F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A1ABF"/>
  </w:style>
  <w:style w:type="paragraph" w:styleId="NormalWeb">
    <w:name w:val="Normal (Web)"/>
    <w:basedOn w:val="Normal"/>
    <w:uiPriority w:val="99"/>
    <w:unhideWhenUsed/>
    <w:rsid w:val="002A1AB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2A1AB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2A1A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A1ABF"/>
    <w:rPr>
      <w:b/>
      <w:bCs/>
    </w:rPr>
  </w:style>
  <w:style w:type="paragraph" w:customStyle="1" w:styleId="3-normalyaz">
    <w:name w:val="3-normalyaz"/>
    <w:basedOn w:val="Normal"/>
    <w:rsid w:val="002A1A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2A1ABF"/>
  </w:style>
  <w:style w:type="character" w:customStyle="1" w:styleId="normal1">
    <w:name w:val="normal1"/>
    <w:basedOn w:val="VarsaylanParagrafYazTipi"/>
    <w:rsid w:val="002A1ABF"/>
  </w:style>
</w:styles>
</file>

<file path=word/webSettings.xml><?xml version="1.0" encoding="utf-8"?>
<w:webSettings xmlns:r="http://schemas.openxmlformats.org/officeDocument/2006/relationships" xmlns:w="http://schemas.openxmlformats.org/wordprocessingml/2006/main">
  <w:divs>
    <w:div w:id="25162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1723</Words>
  <Characters>9824</Characters>
  <Application>Microsoft Office Word</Application>
  <DocSecurity>0</DocSecurity>
  <Lines>81</Lines>
  <Paragraphs>23</Paragraphs>
  <ScaleCrop>false</ScaleCrop>
  <Company/>
  <LinksUpToDate>false</LinksUpToDate>
  <CharactersWithSpaces>11524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2013-08-02T08:34:00Z</dcterms:created>
  <dcterms:modified xsi:type="dcterms:W3CDTF">2013-08-02T08:34:00Z</dcterms:modified>
</cp:coreProperties>
</file>